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C7F0B" w:rsidRDefault="00D96321">
      <w:pPr>
        <w:spacing w:after="200"/>
        <w:jc w:val="center"/>
      </w:pPr>
      <w:r>
        <w:rPr>
          <w:b/>
          <w:bCs/>
          <w:sz w:val="32"/>
          <w:szCs w:val="32"/>
        </w:rPr>
        <w:t>Penerapan Prinsip Good Corporate Governance terhadap Pengelolaan Dana Desa di Desa Dedap dalam Tinjauan Akuntansi Syariah</w:t>
      </w:r>
    </w:p>
    <w:p w:rsidR="00EC7F0B" w:rsidRDefault="00D96321">
      <w:pPr>
        <w:spacing w:after="60"/>
        <w:jc w:val="center"/>
      </w:pPr>
      <w:r>
        <w:rPr>
          <w:b/>
          <w:bCs/>
        </w:rPr>
        <w:t>Irza Hamdani, Saifullah</w:t>
      </w:r>
    </w:p>
    <w:p w:rsidR="00EC7F0B" w:rsidRDefault="00D96321">
      <w:pPr>
        <w:spacing w:after="300"/>
        <w:jc w:val="center"/>
      </w:pPr>
      <w:r>
        <w:rPr>
          <w:i/>
          <w:iCs/>
          <w:sz w:val="16"/>
          <w:szCs w:val="16"/>
        </w:rPr>
        <w:t>Program Studi Akuntansi Syariah, Fakultas Syariah dan Ekonomi Islam, Institut Agama Islam Negeri (IAIN) Datuk Laksemana Bengkalis, Indonesia</w:t>
      </w:r>
    </w:p>
    <w:tbl>
      <w:tblPr>
        <w:tblW w:w="10032" w:type="dxa"/>
        <w:tblInd w:w="-10" w:type="dxa"/>
        <w:tblBorders>
          <w:top w:val="single" w:sz="6" w:space="0" w:color="auto"/>
          <w:bottom w:val="single" w:sz="6" w:space="0" w:color="auto"/>
        </w:tblBorders>
        <w:tblCellMar>
          <w:left w:w="10" w:type="dxa"/>
          <w:right w:w="10" w:type="dxa"/>
        </w:tblCellMar>
        <w:tblLook w:val="04A0" w:firstRow="1" w:lastRow="0" w:firstColumn="1" w:lastColumn="0" w:noHBand="0" w:noVBand="1"/>
      </w:tblPr>
      <w:tblGrid>
        <w:gridCol w:w="3200"/>
        <w:gridCol w:w="6832"/>
      </w:tblGrid>
      <w:tr w:rsidR="00EC7F0B">
        <w:tblPrEx>
          <w:tblCellMar>
            <w:top w:w="0" w:type="dxa"/>
            <w:bottom w:w="0" w:type="dxa"/>
          </w:tblCellMar>
        </w:tblPrEx>
        <w:tc>
          <w:tcPr>
            <w:tcW w:w="3200" w:type="dxa"/>
          </w:tcPr>
          <w:p w:rsidR="00EC7F0B" w:rsidRDefault="00D96321">
            <w:pPr>
              <w:spacing w:after="100"/>
            </w:pPr>
            <w:r>
              <w:rPr>
                <w:b/>
                <w:bCs/>
                <w:sz w:val="18"/>
                <w:szCs w:val="18"/>
              </w:rPr>
              <w:t>Article Info</w:t>
            </w:r>
          </w:p>
          <w:p w:rsidR="00EC7F0B" w:rsidRDefault="00D96321">
            <w:pPr>
              <w:spacing w:after="60"/>
            </w:pPr>
            <w:r>
              <w:rPr>
                <w:b/>
                <w:bCs/>
                <w:i/>
                <w:iCs/>
                <w:sz w:val="18"/>
                <w:szCs w:val="18"/>
              </w:rPr>
              <w:t>Article history:</w:t>
            </w:r>
          </w:p>
          <w:p w:rsidR="001679D7" w:rsidRDefault="001679D7">
            <w:pPr>
              <w:spacing w:after="60"/>
              <w:rPr>
                <w:sz w:val="18"/>
                <w:szCs w:val="18"/>
              </w:rPr>
            </w:pPr>
          </w:p>
          <w:p w:rsidR="001679D7" w:rsidRDefault="001679D7">
            <w:pPr>
              <w:spacing w:after="60"/>
              <w:rPr>
                <w:sz w:val="18"/>
                <w:szCs w:val="18"/>
              </w:rPr>
            </w:pPr>
          </w:p>
          <w:p w:rsidR="001679D7" w:rsidRDefault="001679D7">
            <w:pPr>
              <w:spacing w:after="60"/>
              <w:rPr>
                <w:sz w:val="18"/>
                <w:szCs w:val="18"/>
              </w:rPr>
            </w:pPr>
          </w:p>
          <w:p w:rsidR="00EC7F0B" w:rsidRDefault="00D96321">
            <w:pPr>
              <w:spacing w:after="60"/>
            </w:pPr>
            <w:bookmarkStart w:id="0" w:name="_GoBack"/>
            <w:bookmarkEnd w:id="0"/>
            <w:r>
              <w:rPr>
                <w:b/>
                <w:bCs/>
                <w:i/>
                <w:iCs/>
                <w:sz w:val="18"/>
                <w:szCs w:val="18"/>
              </w:rPr>
              <w:t>Keywords:</w:t>
            </w:r>
          </w:p>
          <w:p w:rsidR="00EC7F0B" w:rsidRDefault="00D96321">
            <w:r>
              <w:rPr>
                <w:i/>
                <w:iCs/>
                <w:sz w:val="18"/>
                <w:szCs w:val="18"/>
              </w:rPr>
              <w:t>Good Corporat</w:t>
            </w:r>
            <w:r>
              <w:rPr>
                <w:i/>
                <w:iCs/>
                <w:sz w:val="18"/>
                <w:szCs w:val="18"/>
              </w:rPr>
              <w:t>e Governance</w:t>
            </w:r>
          </w:p>
          <w:p w:rsidR="00EC7F0B" w:rsidRDefault="00D96321">
            <w:r>
              <w:rPr>
                <w:i/>
                <w:iCs/>
                <w:sz w:val="18"/>
                <w:szCs w:val="18"/>
              </w:rPr>
              <w:t>Pengelolaan Dana Desa</w:t>
            </w:r>
          </w:p>
          <w:p w:rsidR="00EC7F0B" w:rsidRDefault="00D96321">
            <w:r>
              <w:rPr>
                <w:i/>
                <w:iCs/>
                <w:sz w:val="18"/>
                <w:szCs w:val="18"/>
              </w:rPr>
              <w:t>Akuntansi Syariah</w:t>
            </w:r>
          </w:p>
        </w:tc>
        <w:tc>
          <w:tcPr>
            <w:tcW w:w="6832" w:type="dxa"/>
          </w:tcPr>
          <w:p w:rsidR="00EC7F0B" w:rsidRDefault="00D96321">
            <w:pPr>
              <w:spacing w:after="100"/>
            </w:pPr>
            <w:r>
              <w:rPr>
                <w:b/>
                <w:bCs/>
                <w:sz w:val="18"/>
                <w:szCs w:val="18"/>
              </w:rPr>
              <w:t>ABSTRACT</w:t>
            </w:r>
          </w:p>
          <w:p w:rsidR="00EC7F0B" w:rsidRDefault="00D96321">
            <w:pPr>
              <w:spacing w:after="120"/>
              <w:jc w:val="both"/>
            </w:pPr>
            <w:r>
              <w:rPr>
                <w:sz w:val="18"/>
                <w:szCs w:val="18"/>
              </w:rPr>
              <w:t xml:space="preserve">Penelitian ini bertujuan untuk menganalisis penerapan prinsip </w:t>
            </w:r>
            <w:r>
              <w:rPr>
                <w:i/>
                <w:iCs/>
                <w:sz w:val="18"/>
                <w:szCs w:val="18"/>
              </w:rPr>
              <w:t>Good Corporate Governance</w:t>
            </w:r>
            <w:r>
              <w:rPr>
                <w:sz w:val="18"/>
                <w:szCs w:val="18"/>
              </w:rPr>
              <w:t xml:space="preserve"> (GCG) dalam pengelolaan Dana Desa di Desa Dedap, Kecamatan Tasik Putri Puyu, Kabupaten Kepulauan Meranti, </w:t>
            </w:r>
            <w:r>
              <w:rPr>
                <w:sz w:val="18"/>
                <w:szCs w:val="18"/>
              </w:rPr>
              <w:t>serta meninjaunya berdasarkan perspektif akuntansi syariah. Pengelolaan Dana Desa yang baik menjadi salah satu faktor penting dalam mewujudkan pemerintahan desa yang transparan, akuntabel, bertanggung jawab, independen, dan berkeadilan. Penelitian mengguna</w:t>
            </w:r>
            <w:r>
              <w:rPr>
                <w:sz w:val="18"/>
                <w:szCs w:val="18"/>
              </w:rPr>
              <w:t>kan pendekatan kualitatif deskriptif dengan teknik pengumpulan data melalui wawancara, observasi, dan dokumentasi. Informan penelitian terdiri atas Kepala Desa, Sekretaris Desa, Bendahara Desa, dan masyarakat Desa Dedap. Analisis data dilakukan melalui red</w:t>
            </w:r>
            <w:r>
              <w:rPr>
                <w:sz w:val="18"/>
                <w:szCs w:val="18"/>
              </w:rPr>
              <w:t>uksi data, penyajian data, serta penarikan kesimpulan. Hasil penelitian menunjukkan bahwa penerapan prinsip GCG di Desa Dedap secara umum telah berjalan dengan baik. Transparansi diwujudkan melalui penyampaian informasi APBDes dan realisasi Dana Desa kepad</w:t>
            </w:r>
            <w:r>
              <w:rPr>
                <w:sz w:val="18"/>
                <w:szCs w:val="18"/>
              </w:rPr>
              <w:t>a masyarakat. Akuntabilitas tercermin dari penyusunan laporan pertanggungjawaban sesuai ketentuan yang berlaku. Prinsip responsibilitas dilaksanakan melalui kepatuhan terhadap peraturan perundang-undangan, sedangkan independensi diwujudkan melalui proses m</w:t>
            </w:r>
            <w:r>
              <w:rPr>
                <w:sz w:val="18"/>
                <w:szCs w:val="18"/>
              </w:rPr>
              <w:t xml:space="preserve">usyawarah desa yang bebas dari intervensi pihak luar. Prinsip kewajaran tercermin dalam pemerataan manfaat pembangunan bagi masyarakat. Dalam perspektif akuntansi syariah, implementasi GCG telah mencerminkan nilai amanah, keadilan, kebenaran, dan tanggung </w:t>
            </w:r>
            <w:r>
              <w:rPr>
                <w:sz w:val="18"/>
                <w:szCs w:val="18"/>
              </w:rPr>
              <w:t>jawab sehingga mendukung terwujudnya pengelolaan Dana Desa yang berorientasi pada kemaslahatan masyarakat.</w:t>
            </w:r>
          </w:p>
          <w:p w:rsidR="00EC7F0B" w:rsidRDefault="00D96321">
            <w:pPr>
              <w:spacing w:after="80"/>
              <w:jc w:val="both"/>
            </w:pPr>
            <w:r>
              <w:rPr>
                <w:i/>
                <w:iCs/>
                <w:sz w:val="18"/>
                <w:szCs w:val="18"/>
              </w:rPr>
              <w:t>This is an open access article under the CC BY-SA license.</w:t>
            </w:r>
          </w:p>
        </w:tc>
      </w:tr>
    </w:tbl>
    <w:p w:rsidR="00EC7F0B" w:rsidRDefault="00EC7F0B">
      <w:pPr>
        <w:spacing w:after="150"/>
      </w:pPr>
    </w:p>
    <w:tbl>
      <w:tblPr>
        <w:tblW w:w="10032" w:type="dxa"/>
        <w:tblInd w:w="-10" w:type="dxa"/>
        <w:tblBorders>
          <w:top w:val="single" w:sz="6" w:space="0" w:color="auto"/>
          <w:bottom w:val="single" w:sz="6" w:space="0" w:color="auto"/>
        </w:tblBorders>
        <w:tblCellMar>
          <w:left w:w="10" w:type="dxa"/>
          <w:right w:w="10" w:type="dxa"/>
        </w:tblCellMar>
        <w:tblLook w:val="04A0" w:firstRow="1" w:lastRow="0" w:firstColumn="1" w:lastColumn="0" w:noHBand="0" w:noVBand="1"/>
      </w:tblPr>
      <w:tblGrid>
        <w:gridCol w:w="10032"/>
      </w:tblGrid>
      <w:tr w:rsidR="00EC7F0B">
        <w:tblPrEx>
          <w:tblCellMar>
            <w:top w:w="0" w:type="dxa"/>
            <w:bottom w:w="0" w:type="dxa"/>
          </w:tblCellMar>
        </w:tblPrEx>
        <w:tc>
          <w:tcPr>
            <w:tcW w:w="10032" w:type="dxa"/>
          </w:tcPr>
          <w:p w:rsidR="00EC7F0B" w:rsidRDefault="00D96321">
            <w:pPr>
              <w:spacing w:after="100"/>
            </w:pPr>
            <w:r>
              <w:rPr>
                <w:b/>
                <w:bCs/>
                <w:i/>
                <w:iCs/>
                <w:sz w:val="18"/>
                <w:szCs w:val="18"/>
              </w:rPr>
              <w:t>Corresponding Author:</w:t>
            </w:r>
          </w:p>
          <w:p w:rsidR="00EC7F0B" w:rsidRDefault="00D96321">
            <w:r>
              <w:rPr>
                <w:sz w:val="18"/>
                <w:szCs w:val="18"/>
              </w:rPr>
              <w:t>Irza Hamdani</w:t>
            </w:r>
          </w:p>
          <w:p w:rsidR="00EC7F0B" w:rsidRDefault="00D96321">
            <w:r>
              <w:rPr>
                <w:b/>
                <w:bCs/>
                <w:sz w:val="18"/>
                <w:szCs w:val="18"/>
              </w:rPr>
              <w:t>Program Studi Akuntansi Syariah, Fakultas Syariah dan Ekonomi Islam</w:t>
            </w:r>
          </w:p>
          <w:p w:rsidR="00EC7F0B" w:rsidRDefault="00D96321">
            <w:r>
              <w:rPr>
                <w:b/>
                <w:bCs/>
                <w:sz w:val="18"/>
                <w:szCs w:val="18"/>
              </w:rPr>
              <w:t>Institut Agama Islam Negeri (IAIN) Datuk Laksemana Bengkalis</w:t>
            </w:r>
          </w:p>
          <w:p w:rsidR="00EC7F0B" w:rsidRDefault="00D96321">
            <w:pPr>
              <w:spacing w:after="100"/>
            </w:pPr>
            <w:r>
              <w:rPr>
                <w:sz w:val="18"/>
                <w:szCs w:val="18"/>
              </w:rPr>
              <w:t>Email: irzahamdani03@gmail.com</w:t>
            </w:r>
          </w:p>
        </w:tc>
      </w:tr>
    </w:tbl>
    <w:p w:rsidR="00EC7F0B" w:rsidRDefault="00EC7F0B">
      <w:pPr>
        <w:spacing w:after="200"/>
      </w:pPr>
    </w:p>
    <w:p w:rsidR="00EC7F0B" w:rsidRDefault="00D96321">
      <w:pPr>
        <w:spacing w:before="240" w:after="120"/>
      </w:pPr>
      <w:r>
        <w:rPr>
          <w:b/>
          <w:bCs/>
        </w:rPr>
        <w:t>1. PENDAHULUAN</w:t>
      </w:r>
    </w:p>
    <w:p w:rsidR="00EC7F0B" w:rsidRDefault="00D96321">
      <w:pPr>
        <w:spacing w:after="120"/>
        <w:ind w:firstLine="425"/>
        <w:jc w:val="both"/>
      </w:pPr>
      <w:r>
        <w:t xml:space="preserve">Dana Desa merupakan salah satu instrumen kebijakan pemerintah dalam mendorong pembangunan desa dan meningkatkan kesejahteraan masyarakat melalui pemerataan pembangunan. Sejak diberlakukannya Undang-Undang Nomor 6 Tahun 2014 tentang Desa, pemerintah secara </w:t>
      </w:r>
      <w:r>
        <w:t>konsisten mengalokasikan Dana Desa untuk membiayai penyelenggaraan pemerintahan, pelaksanaan pembangunan, pembinaan kemasyarakatan, serta pemberdayaan masyarakat desa. Besarnya dana yang dikelola pemerintah desa menuntut adanya sistem tata kelola yang baik</w:t>
      </w:r>
      <w:r>
        <w:t xml:space="preserve"> agar penggunaan anggaran dapat dipertanggungjawabkan secara transparan, efektif, dan sesuai dengan ketentuan peraturan perundang-undangan.</w:t>
      </w:r>
    </w:p>
    <w:p w:rsidR="00EC7F0B" w:rsidRDefault="00D96321">
      <w:pPr>
        <w:spacing w:after="120"/>
        <w:ind w:firstLine="425"/>
        <w:jc w:val="both"/>
      </w:pPr>
      <w:r>
        <w:t>Meningkatnya alokasi Dana Desa juga diikuti oleh berbagai permasalahan dalam implementasinya. Beberapa kasus penyala</w:t>
      </w:r>
      <w:r>
        <w:t>hgunaan Dana Desa menunjukkan bahwa lemahnya transparansi, akuntabilitas, dan pengawasan masih menjadi tantangan dalam tata kelola pemerintahan desa. Kondisi tersebut menunjukkan bahwa pengelolaan Dana Desa tidak hanya memerlukan kepatuhan terhadap regulas</w:t>
      </w:r>
      <w:r>
        <w:t>i, tetapi juga membutuhkan penerapan prinsip-prinsip tata kelola yang baik (</w:t>
      </w:r>
      <w:r>
        <w:rPr>
          <w:i/>
          <w:iCs/>
        </w:rPr>
        <w:t>Good Corporate Governance</w:t>
      </w:r>
      <w:r>
        <w:t>/GCG) sebagai landasan dalam setiap proses pengambilan keputusan dan pengelolaan keuangan desa.</w:t>
      </w:r>
    </w:p>
    <w:p w:rsidR="00EC7F0B" w:rsidRDefault="00D96321">
      <w:pPr>
        <w:spacing w:after="120"/>
        <w:ind w:firstLine="425"/>
        <w:jc w:val="both"/>
      </w:pPr>
      <w:r>
        <w:t xml:space="preserve">Prinsip </w:t>
      </w:r>
      <w:r>
        <w:rPr>
          <w:i/>
          <w:iCs/>
        </w:rPr>
        <w:t>Good Corporate Governance</w:t>
      </w:r>
      <w:r>
        <w:t xml:space="preserve"> meliputi transparansi (</w:t>
      </w:r>
      <w:r>
        <w:rPr>
          <w:i/>
          <w:iCs/>
        </w:rPr>
        <w:t>transparency</w:t>
      </w:r>
      <w:r>
        <w:t>), akuntabilitas (</w:t>
      </w:r>
      <w:r>
        <w:rPr>
          <w:i/>
          <w:iCs/>
        </w:rPr>
        <w:t>accountability</w:t>
      </w:r>
      <w:r>
        <w:t>), responsibilitas (</w:t>
      </w:r>
      <w:r>
        <w:rPr>
          <w:i/>
          <w:iCs/>
        </w:rPr>
        <w:t>responsibility</w:t>
      </w:r>
      <w:r>
        <w:t>), independensi (</w:t>
      </w:r>
      <w:r>
        <w:rPr>
          <w:i/>
          <w:iCs/>
        </w:rPr>
        <w:t>independency</w:t>
      </w:r>
      <w:r>
        <w:t>), dan kewajaran (</w:t>
      </w:r>
      <w:r>
        <w:rPr>
          <w:i/>
          <w:iCs/>
        </w:rPr>
        <w:t>fairness</w:t>
      </w:r>
      <w:r>
        <w:t>). Penerapan kelima prinsip tersebut diharapkan mampu meningkatkan kepercayaan masyarakat terhadap pemerintah desa sekaligu</w:t>
      </w:r>
      <w:r>
        <w:t>s meminimalkan potensi penyimpangan dalam pengelolaan Dana Desa. Dalam konteks pemerintahan desa, implementasi GCG juga menjadi salah satu indikator terciptanya tata kelola pemerintahan yang efektif, efisien, dan berorientasi pada kepentingan masyarakat.</w:t>
      </w:r>
    </w:p>
    <w:p w:rsidR="00EC7F0B" w:rsidRDefault="00D96321">
      <w:pPr>
        <w:spacing w:after="120"/>
        <w:ind w:firstLine="425"/>
        <w:jc w:val="both"/>
      </w:pPr>
      <w:r>
        <w:lastRenderedPageBreak/>
        <w:t>D</w:t>
      </w:r>
      <w:r>
        <w:t>esa Dedap merupakan salah satu desa di Kecamatan Tasik Putri Puyu, Kabupaten Kepulauan Meranti, yang setiap tahun menerima alokasi Dana Desa untuk mendukung pembangunan dan pemberdayaan masyarakat. Meskipun berbagai program pembangunan telah terlaksana, ma</w:t>
      </w:r>
      <w:r>
        <w:t>sih ditemukan beberapa kendala, seperti keterbatasan penyampaian informasi kepada masyarakat, rendahnya partisipasi masyarakat dalam pengawasan, serta perlunya peningkatan kualitas pelaporan keuangan desa. Kondisi tersebut menunjukkan bahwa implementasi pr</w:t>
      </w:r>
      <w:r>
        <w:t>insip GCG masih memerlukan evaluasi agar pengelolaan Dana Desa semakin optimal.</w:t>
      </w:r>
    </w:p>
    <w:p w:rsidR="00EC7F0B" w:rsidRDefault="00D96321">
      <w:pPr>
        <w:spacing w:after="120"/>
        <w:ind w:firstLine="425"/>
        <w:jc w:val="both"/>
      </w:pPr>
      <w:r>
        <w:t>Selain aspek tata kelola, penelitian ini juga meninjau pengelolaan Dana Desa berdasarkan perspektif akuntansi syariah. Akuntansi syariah menekankan nilai amanah, keadilan, keju</w:t>
      </w:r>
      <w:r>
        <w:t>juran, dan tanggung jawab sebagai prinsip utama dalam pengelolaan keuangan. Nilai-nilai tersebut sejalan dengan prinsip GCG sehingga diharapkan mampu memperkuat kualitas tata kelola pemerintahan desa. Integrasi antara prinsip GCG dan akuntansi syariah menj</w:t>
      </w:r>
      <w:r>
        <w:t>adi nilai tambah penelitian ini karena memberikan perspektif yang lebih komprehensif terhadap pengelolaan Dana Desa.</w:t>
      </w:r>
    </w:p>
    <w:p w:rsidR="00EC7F0B" w:rsidRDefault="00D96321">
      <w:pPr>
        <w:spacing w:after="120"/>
        <w:ind w:firstLine="425"/>
        <w:jc w:val="both"/>
      </w:pPr>
      <w:r>
        <w:t xml:space="preserve">Berdasarkan uraian tersebut, penelitian ini bertujuan untuk menganalisis penerapan prinsip </w:t>
      </w:r>
      <w:r>
        <w:rPr>
          <w:i/>
          <w:iCs/>
        </w:rPr>
        <w:t>Good Corporate Governance</w:t>
      </w:r>
      <w:r>
        <w:t xml:space="preserve"> dalam pengelolaan Dana</w:t>
      </w:r>
      <w:r>
        <w:t xml:space="preserve"> Desa di Desa Dedap serta mengevaluasinya berdasarkan perspektif akuntansi syariah. Hasil penelitian diharapkan dapat memberikan kontribusi bagi pengembangan tata kelola pemerintahan desa yang lebih transparan, akuntabel, dan berorientasi pada kemaslahatan</w:t>
      </w:r>
      <w:r>
        <w:t xml:space="preserve"> masyarakat.</w:t>
      </w:r>
    </w:p>
    <w:p w:rsidR="00EC7F0B" w:rsidRDefault="00D96321">
      <w:pPr>
        <w:spacing w:before="240" w:after="120"/>
      </w:pPr>
      <w:r>
        <w:rPr>
          <w:b/>
          <w:bCs/>
        </w:rPr>
        <w:t>2. METODE PENELITIAN</w:t>
      </w:r>
    </w:p>
    <w:p w:rsidR="00EC7F0B" w:rsidRDefault="00D96321">
      <w:pPr>
        <w:spacing w:after="120"/>
        <w:ind w:firstLine="425"/>
        <w:jc w:val="both"/>
      </w:pPr>
      <w:r>
        <w:t>Penelitian ini menggunakan pendekatan kualitatif dengan jenis penelitian lapangan (</w:t>
      </w:r>
      <w:r>
        <w:rPr>
          <w:i/>
          <w:iCs/>
        </w:rPr>
        <w:t>field research</w:t>
      </w:r>
      <w:r>
        <w:t xml:space="preserve">) untuk memperoleh gambaran secara komprehensif mengenai penerapan prinsip </w:t>
      </w:r>
      <w:r>
        <w:rPr>
          <w:i/>
          <w:iCs/>
        </w:rPr>
        <w:t>Good Corporate Governance</w:t>
      </w:r>
      <w:r>
        <w:t xml:space="preserve"> (GCG) dalam pengelolaan </w:t>
      </w:r>
      <w:r>
        <w:t>Dana Desa di Desa Dedap, Kecamatan Tasik Putri Puyu, Kabupaten Kepulauan Meranti. Pendekatan kualitatif dipilih karena mampu menjelaskan fenomena yang terjadi secara mendalam berdasarkan kondisi nyata di lapangan serta memungkinkan peneliti memahami perila</w:t>
      </w:r>
      <w:r>
        <w:t>ku, persepsi, dan praktik pengelolaan Dana Desa yang dilakukan oleh pemerintah desa. Metode ini juga relevan untuk mengkaji implementasi nilai-nilai akuntansi syariah dalam tata kelola pemerintahan desa.</w:t>
      </w:r>
    </w:p>
    <w:p w:rsidR="00EC7F0B" w:rsidRDefault="00D96321">
      <w:pPr>
        <w:spacing w:after="120"/>
        <w:ind w:firstLine="425"/>
        <w:jc w:val="both"/>
      </w:pPr>
      <w:r>
        <w:t>Data penelitian terdiri atas data primer dan data se</w:t>
      </w:r>
      <w:r>
        <w:t xml:space="preserve">kunder. Data primer diperoleh melalui wawancara mendalam dengan Kepala Desa, Sekretaris Desa, Bendahara Desa, Ketua Badan Permusyawaratan Desa (BPD), serta beberapa masyarakat Desa Dedap yang dipilih menggunakan teknik </w:t>
      </w:r>
      <w:r>
        <w:rPr>
          <w:i/>
          <w:iCs/>
        </w:rPr>
        <w:t>purposive sampling</w:t>
      </w:r>
      <w:r>
        <w:t>. Sementara itu, da</w:t>
      </w:r>
      <w:r>
        <w:t>ta sekunder diperoleh melalui dokumen APBDes, laporan realisasi Dana Desa, peraturan perundang-undangan, serta dokumen pendukung lainnya yang berkaitan dengan pengelolaan Dana Desa.</w:t>
      </w:r>
    </w:p>
    <w:p w:rsidR="00EC7F0B" w:rsidRDefault="00D96321">
      <w:pPr>
        <w:spacing w:after="120"/>
        <w:ind w:firstLine="425"/>
        <w:jc w:val="both"/>
      </w:pPr>
      <w:r>
        <w:t>Teknik pengumpulan data dilakukan melalui observasi, wawancara, dan dokume</w:t>
      </w:r>
      <w:r>
        <w:t>ntasi. Analisis data menggunakan model interaktif Miles dan Huberman yang meliputi reduksi data, penyajian data, dan penarikan kesimpulan. Untuk menjamin keabsahan data, penelitian menerapkan teknik triangulasi sumber dan triangulasi metode dengan membandi</w:t>
      </w:r>
      <w:r>
        <w:t>ngkan hasil wawancara, observasi, dan dokumen resmi pemerintah desa.</w:t>
      </w:r>
    </w:p>
    <w:p w:rsidR="00EC7F0B" w:rsidRDefault="00D96321">
      <w:pPr>
        <w:spacing w:before="240" w:after="120"/>
      </w:pPr>
      <w:r>
        <w:rPr>
          <w:b/>
          <w:bCs/>
        </w:rPr>
        <w:t>3. HASIL DAN PEMBAHASAN</w:t>
      </w:r>
    </w:p>
    <w:p w:rsidR="00EC7F0B" w:rsidRDefault="00D96321">
      <w:pPr>
        <w:spacing w:before="200" w:after="120"/>
      </w:pPr>
      <w:r>
        <w:rPr>
          <w:b/>
          <w:bCs/>
        </w:rPr>
        <w:t>3.1. Penerapan Prinsip Transparansi</w:t>
      </w:r>
    </w:p>
    <w:p w:rsidR="00EC7F0B" w:rsidRDefault="00D96321">
      <w:pPr>
        <w:spacing w:after="120"/>
        <w:ind w:firstLine="425"/>
        <w:jc w:val="both"/>
      </w:pPr>
      <w:r>
        <w:t>Hasil penelitian menunjukkan bahwa Pemerintah Desa Dedap telah menerapkan prinsip transparansi dalam pengelolaan Dana Desa mela</w:t>
      </w:r>
      <w:r>
        <w:t>lui penyampaian informasi kepada masyarakat mengenai APBDes, program pembangunan, serta realisasi penggunaan anggaran. Informasi tersebut disampaikan melalui musyawarah desa, pemasangan baliho APBDes, papan informasi kegiatan, dan komunikasi langsung antar</w:t>
      </w:r>
      <w:r>
        <w:t>a pemerintah desa dengan masyarakat.</w:t>
      </w:r>
    </w:p>
    <w:p w:rsidR="00EC7F0B" w:rsidRDefault="00D96321">
      <w:pPr>
        <w:spacing w:after="120"/>
        <w:ind w:firstLine="425"/>
        <w:jc w:val="both"/>
      </w:pPr>
      <w:r>
        <w:t>Berdasarkan hasil wawancara, masyarakat menyatakan bahwa mereka memperoleh informasi mengenai pembangunan desa serta penggunaan Dana Desa, meskipun penyampaian informasi belum sepenuhnya menjangkau seluruh lapisan masya</w:t>
      </w:r>
      <w:r>
        <w:t>rakat. Kondisi ini menunjukkan bahwa keterbukaan informasi telah dilaksanakan, namun efektivitas penyebaran informasi masih perlu ditingkatkan agar seluruh masyarakat memiliki akses informasi yang sama.</w:t>
      </w:r>
    </w:p>
    <w:p w:rsidR="00EC7F0B" w:rsidRDefault="00D96321">
      <w:pPr>
        <w:spacing w:after="120"/>
        <w:ind w:firstLine="425"/>
        <w:jc w:val="both"/>
      </w:pPr>
      <w:r>
        <w:t>Prinsip transparansi merupakan salah satu unsur utama</w:t>
      </w:r>
      <w:r>
        <w:t xml:space="preserve"> </w:t>
      </w:r>
      <w:r>
        <w:rPr>
          <w:i/>
          <w:iCs/>
        </w:rPr>
        <w:t>Good Corporate Governance</w:t>
      </w:r>
      <w:r>
        <w:t xml:space="preserve"> karena memberikan kesempatan kepada masyarakat untuk mengetahui serta mengawasi penggunaan anggaran desa. Transparansi yang baik akan meningkatkan kepercayaan publik sekaligus meminimalkan potensi penyalahgunaan Dana Desa. Temuan</w:t>
      </w:r>
      <w:r>
        <w:t xml:space="preserve"> penelitian ini menunjukkan bahwa penerapan transparansi di Desa Dedap telah sesuai dengan ketentuan pengelolaan keuangan desa, meskipun masih diperlukan inovasi dalam pemanfaatan media informasi digital untuk memperluas akses masyarakat terhadap informasi</w:t>
      </w:r>
      <w:r>
        <w:t xml:space="preserve"> publik.</w:t>
      </w:r>
    </w:p>
    <w:p w:rsidR="00EC7F0B" w:rsidRDefault="00D96321">
      <w:pPr>
        <w:spacing w:before="200" w:after="120"/>
      </w:pPr>
      <w:r>
        <w:rPr>
          <w:b/>
          <w:bCs/>
        </w:rPr>
        <w:t>3.2. Penerapan Prinsip Akuntabilitas</w:t>
      </w:r>
    </w:p>
    <w:p w:rsidR="00EC7F0B" w:rsidRDefault="00D96321">
      <w:pPr>
        <w:spacing w:after="120"/>
        <w:ind w:firstLine="425"/>
        <w:jc w:val="both"/>
      </w:pPr>
      <w:r>
        <w:t xml:space="preserve">Akuntabilitas dalam pengelolaan Dana Desa di Desa Dedap diwujudkan melalui penyusunan laporan pertanggungjawaban yang dilakukan secara berkala sesuai dengan ketentuan Peraturan Menteri Dalam Negeri Nomor </w:t>
      </w:r>
      <w:r>
        <w:lastRenderedPageBreak/>
        <w:t>20 Tah</w:t>
      </w:r>
      <w:r>
        <w:t>un 2018. Pemerintah desa menyampaikan laporan penggunaan Dana Desa kepada pemerintah daerah sebagai bentuk pertanggungjawaban administratif sekaligus sebagai dasar evaluasi pelaksanaan program pembangunan.</w:t>
      </w:r>
    </w:p>
    <w:p w:rsidR="00EC7F0B" w:rsidRDefault="00D96321">
      <w:pPr>
        <w:spacing w:after="120"/>
        <w:ind w:firstLine="425"/>
        <w:jc w:val="both"/>
      </w:pPr>
      <w:r>
        <w:t>Berdasarkan hasil wawancara dengan perangkat desa,</w:t>
      </w:r>
      <w:r>
        <w:t xml:space="preserve"> seluruh penggunaan Dana Desa didukung oleh bukti transaksi dan dicatat sesuai prosedur yang berlaku. Selain itu, setiap kegiatan pembangunan didokumentasikan sebagai bentuk pertanggungjawaban kepada masyarakat dan pemerintah daerah.</w:t>
      </w:r>
    </w:p>
    <w:p w:rsidR="00EC7F0B" w:rsidRDefault="00D96321">
      <w:pPr>
        <w:spacing w:after="120"/>
        <w:ind w:firstLine="425"/>
        <w:jc w:val="both"/>
      </w:pPr>
      <w:r>
        <w:t>Penerapan akuntabilita</w:t>
      </w:r>
      <w:r>
        <w:t>s tersebut menunjukkan adanya komitmen pemerintah desa dalam menciptakan tata kelola keuangan yang dapat dipertanggungjawabkan. Meskipun demikian, penelitian menemukan bahwa peningkatan kapasitas sumber daya manusia, khususnya dalam pengelolaan administras</w:t>
      </w:r>
      <w:r>
        <w:t>i dan penyusunan laporan keuangan, masih diperlukan agar kualitas pelaporan semakin baik dan sesuai dengan perkembangan regulasi.</w:t>
      </w:r>
    </w:p>
    <w:p w:rsidR="00EC7F0B" w:rsidRDefault="00D96321">
      <w:pPr>
        <w:spacing w:before="200" w:after="120"/>
      </w:pPr>
      <w:r>
        <w:rPr>
          <w:b/>
          <w:bCs/>
        </w:rPr>
        <w:t>3.3. Penerapan Prinsip Responsibilitas</w:t>
      </w:r>
    </w:p>
    <w:p w:rsidR="00EC7F0B" w:rsidRDefault="00D96321">
      <w:pPr>
        <w:spacing w:after="120"/>
        <w:ind w:firstLine="425"/>
        <w:jc w:val="both"/>
      </w:pPr>
      <w:r>
        <w:t xml:space="preserve">Prinsip responsibilitas diwujudkan melalui kepatuhan pemerintah desa terhadap berbagai </w:t>
      </w:r>
      <w:r>
        <w:t>peraturan yang mengatur pengelolaan Dana Desa. Setiap tahapan, mulai dari perencanaan, pelaksanaan, penatausahaan, hingga pelaporan, dilakukan berdasarkan ketentuan yang berlaku sehingga meminimalkan terjadinya penyimpangan dalam penggunaan anggaran.</w:t>
      </w:r>
    </w:p>
    <w:p w:rsidR="00EC7F0B" w:rsidRDefault="00D96321">
      <w:pPr>
        <w:spacing w:after="120"/>
        <w:ind w:firstLine="425"/>
        <w:jc w:val="both"/>
      </w:pPr>
      <w:r>
        <w:t>Hasil</w:t>
      </w:r>
      <w:r>
        <w:t xml:space="preserve"> penelitian menunjukkan bahwa pemerintah Desa Dedap selalu mengacu pada hasil musyawarah desa dalam menentukan prioritas pembangunan. Program-program yang dilaksanakan diarahkan untuk memenuhi kebutuhan masyarakat sesuai dengan kemampuan keuangan desa dan </w:t>
      </w:r>
      <w:r>
        <w:t>ketentuan pemerintah.</w:t>
      </w:r>
    </w:p>
    <w:p w:rsidR="00EC7F0B" w:rsidRDefault="00D96321">
      <w:pPr>
        <w:spacing w:after="120"/>
        <w:ind w:firstLine="425"/>
        <w:jc w:val="both"/>
      </w:pPr>
      <w:r>
        <w:t>Implementasi prinsip responsibilitas tersebut menunjukkan bahwa pemerintah desa tidak hanya menjalankan kewajiban administratif, tetapi juga berupaya memastikan bahwa seluruh kegiatan pembangunan memberikan manfaat bagi masyarakat sec</w:t>
      </w:r>
      <w:r>
        <w:t>ara luas.</w:t>
      </w:r>
    </w:p>
    <w:p w:rsidR="00EC7F0B" w:rsidRDefault="00D96321">
      <w:pPr>
        <w:spacing w:before="200" w:after="120"/>
      </w:pPr>
      <w:r>
        <w:rPr>
          <w:b/>
          <w:bCs/>
        </w:rPr>
        <w:t>3.4. Penerapan Prinsip Independensi</w:t>
      </w:r>
    </w:p>
    <w:p w:rsidR="00EC7F0B" w:rsidRDefault="00D96321">
      <w:pPr>
        <w:spacing w:after="120"/>
        <w:ind w:firstLine="425"/>
        <w:jc w:val="both"/>
      </w:pPr>
      <w:r>
        <w:t>Penelitian menunjukkan bahwa proses pengambilan keputusan dalam pengelolaan Dana Desa dilakukan melalui musyawarah desa yang melibatkan pemerintah desa, Badan Permusyawaratan Desa (BPD), tokoh masyarakat, dan unsur masyarakat lainnya. Mekanisme tersebut me</w:t>
      </w:r>
      <w:r>
        <w:t>mberikan ruang bagi berbagai pihak untuk menyampaikan aspirasi sehingga keputusan yang dihasilkan tidak didominasi oleh kepentingan individu maupun kelompok tertentu.</w:t>
      </w:r>
    </w:p>
    <w:p w:rsidR="00EC7F0B" w:rsidRDefault="00D96321">
      <w:pPr>
        <w:spacing w:after="120"/>
        <w:ind w:firstLine="425"/>
        <w:jc w:val="both"/>
      </w:pPr>
      <w:r>
        <w:t>Meskipun demikian, tidak seluruh usulan masyarakat dapat direalisasikan karena pemerintah</w:t>
      </w:r>
      <w:r>
        <w:t xml:space="preserve"> desa harus mempertimbangkan skala prioritas pembangunan serta ketentuan penggunaan Dana Desa yang telah ditetapkan pemerintah pusat. Oleh karena itu, independensi dalam penelitian ini tidak diartikan sebagai kebebasan tanpa batas, melainkan sebagai kemamp</w:t>
      </w:r>
      <w:r>
        <w:t>uan pemerintah desa dalam mengambil keputusan secara objektif berdasarkan kebutuhan masyarakat dan ketentuan hukum yang berlaku.</w:t>
      </w:r>
    </w:p>
    <w:p w:rsidR="00EC7F0B" w:rsidRDefault="00D96321">
      <w:pPr>
        <w:spacing w:before="200" w:after="120"/>
      </w:pPr>
      <w:r>
        <w:rPr>
          <w:b/>
          <w:bCs/>
        </w:rPr>
        <w:t>3.5. Penerapan Prinsip Fairness (Kewajaran dan Keadilan)</w:t>
      </w:r>
    </w:p>
    <w:p w:rsidR="00EC7F0B" w:rsidRDefault="00D96321">
      <w:pPr>
        <w:spacing w:after="120"/>
        <w:ind w:firstLine="425"/>
        <w:jc w:val="both"/>
      </w:pPr>
      <w:r>
        <w:t>Prinsip kewajaran tercermin dari upaya pemerintah Desa Dedap dalam men</w:t>
      </w:r>
      <w:r>
        <w:t>distribusikan manfaat pembangunan kepada seluruh masyarakat tanpa membedakan latar belakang sosial, ekonomi, maupun kelompok tertentu. Berbagai program pembangunan, seperti pembangunan infrastruktur, pemberdayaan masyarakat, serta peningkatan pelayanan pub</w:t>
      </w:r>
      <w:r>
        <w:t>lik, dilaksanakan berdasarkan hasil musyawarah dan mempertimbangkan kebutuhan masyarakat.</w:t>
      </w:r>
    </w:p>
    <w:p w:rsidR="00EC7F0B" w:rsidRDefault="00D96321">
      <w:pPr>
        <w:spacing w:after="120"/>
        <w:ind w:firstLine="425"/>
        <w:jc w:val="both"/>
      </w:pPr>
      <w:r>
        <w:t>Sebagian besar masyarakat menyatakan bahwa pembangunan desa telah memberikan manfaat yang cukup merata. Walaupun masih terdapat beberapa usulan yang belum dapat direa</w:t>
      </w:r>
      <w:r>
        <w:t>lisasikan karena keterbatasan anggaran, pemerintah desa terus berupaya mengakomodasi kebutuhan masyarakat secara bertahap sesuai dengan kemampuan keuangan desa.</w:t>
      </w:r>
    </w:p>
    <w:p w:rsidR="00EC7F0B" w:rsidRDefault="00D96321">
      <w:pPr>
        <w:spacing w:after="120"/>
        <w:ind w:firstLine="425"/>
        <w:jc w:val="both"/>
      </w:pPr>
      <w:r>
        <w:t>Penerapan prinsip kewajaran tersebut menunjukkan adanya komitmen pemerintah desa dalam mewujudk</w:t>
      </w:r>
      <w:r>
        <w:t>an pemerataan pembangunan sebagai salah satu tujuan utama pengelolaan Dana Desa.</w:t>
      </w:r>
    </w:p>
    <w:p w:rsidR="00EC7F0B" w:rsidRDefault="00D96321">
      <w:pPr>
        <w:spacing w:before="200" w:after="120"/>
      </w:pPr>
      <w:r>
        <w:rPr>
          <w:b/>
          <w:bCs/>
        </w:rPr>
        <w:t>3.6. Analisis dalam Perspektif Akuntansi Syariah</w:t>
      </w:r>
    </w:p>
    <w:p w:rsidR="00EC7F0B" w:rsidRDefault="00D96321">
      <w:pPr>
        <w:spacing w:after="120"/>
        <w:ind w:firstLine="425"/>
        <w:jc w:val="both"/>
      </w:pPr>
      <w:r>
        <w:t xml:space="preserve">Dalam perspektif akuntansi syariah, penerapan prinsip </w:t>
      </w:r>
      <w:r>
        <w:rPr>
          <w:i/>
          <w:iCs/>
        </w:rPr>
        <w:t>Good Corporate Governance</w:t>
      </w:r>
      <w:r>
        <w:t xml:space="preserve"> di Desa Dedap menunjukkan kesesuaian dengan nilai-nilai Islam, khususnya amanah, keadilan (</w:t>
      </w:r>
      <w:r>
        <w:rPr>
          <w:i/>
          <w:iCs/>
        </w:rPr>
        <w:t>'adl</w:t>
      </w:r>
      <w:r>
        <w:t>), kejujuran (</w:t>
      </w:r>
      <w:r>
        <w:rPr>
          <w:i/>
          <w:iCs/>
        </w:rPr>
        <w:t>ṣidq</w:t>
      </w:r>
      <w:r>
        <w:t>), tanggung jawab (</w:t>
      </w:r>
      <w:r>
        <w:rPr>
          <w:i/>
          <w:iCs/>
        </w:rPr>
        <w:t>mas'uliyyah</w:t>
      </w:r>
      <w:r>
        <w:t>), dan kemaslahatan (</w:t>
      </w:r>
      <w:r>
        <w:rPr>
          <w:i/>
          <w:iCs/>
        </w:rPr>
        <w:t>maṣlaḥah</w:t>
      </w:r>
      <w:r>
        <w:t>). Pengelolaan Dana Desa tidak hanya dipandang sebagai kewajiban administratif, tet</w:t>
      </w:r>
      <w:r>
        <w:t>api juga sebagai amanah yang harus dipertanggungjawabkan kepada masyarakat dan kepada Allah SWT.</w:t>
      </w:r>
    </w:p>
    <w:p w:rsidR="00EC7F0B" w:rsidRDefault="00D96321">
      <w:pPr>
        <w:spacing w:after="120"/>
        <w:ind w:firstLine="425"/>
        <w:jc w:val="both"/>
      </w:pPr>
      <w:r>
        <w:t>Prinsip transparansi yang diterapkan pemerintah desa mencerminkan nilai kejujuran dalam penyampaian informasi kepada masyarakat. Akuntabilitas diwujudkan melal</w:t>
      </w:r>
      <w:r>
        <w:t>ui penyusunan laporan keuangan yang dapat dipertanggungjawabkan, sedangkan responsibilitas menunjukkan kepatuhan terhadap ketentuan syariat dan peraturan pemerintah. Independensi tercermin dalam proses pengambilan keputusan melalui musyawarah yang mengedep</w:t>
      </w:r>
      <w:r>
        <w:t xml:space="preserve">ankan </w:t>
      </w:r>
      <w:r>
        <w:lastRenderedPageBreak/>
        <w:t>kepentingan masyarakat, sedangkan prinsip kewajaran menunjukkan implementasi nilai keadilan dalam pemerataan hasil pembangunan.</w:t>
      </w:r>
    </w:p>
    <w:p w:rsidR="00EC7F0B" w:rsidRDefault="00D96321">
      <w:pPr>
        <w:spacing w:after="120"/>
        <w:ind w:firstLine="425"/>
        <w:jc w:val="both"/>
      </w:pPr>
      <w:r>
        <w:t>Temuan penelitian ini sejalan dengan kandungan QS. An-Nisa' ayat 58 yang memerintahkan agar amanah disampaikan kepada yang</w:t>
      </w:r>
      <w:r>
        <w:t xml:space="preserve"> berhak serta menetapkan hukum secara adil. Selain itu, QS. Al-Baqarah ayat 282 memberikan landasan penting mengenai kewajiban pencatatan transaksi sebagai bentuk akuntabilitas dalam pengelolaan keuangan. Dengan demikian, penerapan prinsip </w:t>
      </w:r>
      <w:r>
        <w:rPr>
          <w:i/>
          <w:iCs/>
        </w:rPr>
        <w:t>Good Corporate G</w:t>
      </w:r>
      <w:r>
        <w:rPr>
          <w:i/>
          <w:iCs/>
        </w:rPr>
        <w:t>overnance</w:t>
      </w:r>
      <w:r>
        <w:t xml:space="preserve"> di Desa Dedap tidak hanya memenuhi aspek tata kelola pemerintahan modern, tetapi juga mengimplementasikan nilai-nilai dasar akuntansi syariah yang menekankan kejujuran, keadilan, transparansi, dan pertanggungjawaban dalam setiap aktivitas pengelo</w:t>
      </w:r>
      <w:r>
        <w:t>laan Dana Desa.</w:t>
      </w:r>
    </w:p>
    <w:p w:rsidR="00EC7F0B" w:rsidRDefault="00D96321">
      <w:pPr>
        <w:spacing w:before="240" w:after="120"/>
      </w:pPr>
      <w:r>
        <w:rPr>
          <w:b/>
          <w:bCs/>
        </w:rPr>
        <w:t>4. KESIMPULAN</w:t>
      </w:r>
    </w:p>
    <w:p w:rsidR="00EC7F0B" w:rsidRDefault="00D96321">
      <w:pPr>
        <w:spacing w:after="120"/>
        <w:ind w:firstLine="425"/>
        <w:jc w:val="both"/>
      </w:pPr>
      <w:r>
        <w:t xml:space="preserve">Penelitian ini menunjukkan bahwa penerapan prinsip </w:t>
      </w:r>
      <w:r>
        <w:rPr>
          <w:i/>
          <w:iCs/>
        </w:rPr>
        <w:t>Good Corporate Governance</w:t>
      </w:r>
      <w:r>
        <w:t xml:space="preserve"> (GCG) dalam pengelolaan Dana Desa di Desa Dedap, Kecamatan Tasik Putri Puyu, Kabupaten Kepulauan Meranti secara umum telah dilaksanakan dengan baik. </w:t>
      </w:r>
      <w:r>
        <w:t>Prinsip transparansi diwujudkan melalui penyampaian informasi APBDes dan realisasi penggunaan Dana Desa kepada masyarakat melalui musyawarah desa, papan informasi, serta media komunikasi lainnya. Akuntabilitas tercermin dari penyusunan laporan pertanggungj</w:t>
      </w:r>
      <w:r>
        <w:t>awaban keuangan yang dilaksanakan sesuai dengan ketentuan peraturan perundang-undangan dan didukung oleh dokumentasi setiap kegiatan pembangunan.</w:t>
      </w:r>
    </w:p>
    <w:p w:rsidR="00EC7F0B" w:rsidRDefault="00D96321">
      <w:pPr>
        <w:spacing w:after="120"/>
        <w:ind w:firstLine="425"/>
        <w:jc w:val="both"/>
      </w:pPr>
      <w:r>
        <w:t>Prinsip responsibilitas diwujudkan melalui kepatuhan pemerintah desa terhadap seluruh regulasi yang mengatur p</w:t>
      </w:r>
      <w:r>
        <w:t>engelolaan Dana Desa, mulai dari tahap perencanaan hingga pertanggungjawaban. Prinsip independensi terlihat pada proses pengambilan keputusan yang dilakukan melalui musyawarah desa dengan melibatkan berbagai unsur masyarakat sehingga keputusan yang dihasil</w:t>
      </w:r>
      <w:r>
        <w:t xml:space="preserve">kan lebih objektif dan berorientasi pada kepentingan bersama. Sementara itu, prinsip </w:t>
      </w:r>
      <w:r>
        <w:rPr>
          <w:i/>
          <w:iCs/>
        </w:rPr>
        <w:t>fairness</w:t>
      </w:r>
      <w:r>
        <w:t xml:space="preserve"> tercermin melalui pemerataan manfaat pembangunan serta pemberian kesempatan yang sama kepada masyarakat dalam menyampaikan aspirasi.</w:t>
      </w:r>
    </w:p>
    <w:p w:rsidR="00EC7F0B" w:rsidRDefault="00D96321">
      <w:pPr>
        <w:spacing w:after="120"/>
        <w:ind w:firstLine="425"/>
        <w:jc w:val="both"/>
      </w:pPr>
      <w:r>
        <w:t xml:space="preserve">Meskipun implementasi kelima </w:t>
      </w:r>
      <w:r>
        <w:t>prinsip tersebut telah berjalan dengan baik, penelitian ini juga menemukan beberapa aspek yang masih perlu ditingkatkan. Penyebarluasan informasi kepada masyarakat masih perlu dioptimalkan melalui pemanfaatan teknologi informasi dan media digital agar akse</w:t>
      </w:r>
      <w:r>
        <w:t>s terhadap informasi publik menjadi lebih luas. Selain itu, peningkatan kompetensi aparatur desa dalam pengelolaan administrasi dan pelaporan keuangan perlu terus dilakukan untuk mendukung terwujudnya tata kelola pemerintahan desa yang semakin profesional,</w:t>
      </w:r>
      <w:r>
        <w:t xml:space="preserve"> efektif, dan akuntabel.</w:t>
      </w:r>
    </w:p>
    <w:p w:rsidR="00EC7F0B" w:rsidRDefault="00D96321">
      <w:pPr>
        <w:spacing w:after="120"/>
        <w:ind w:firstLine="425"/>
        <w:jc w:val="both"/>
      </w:pPr>
      <w:r>
        <w:t xml:space="preserve">Ditinjau dari perspektif akuntansi syariah, penerapan prinsip </w:t>
      </w:r>
      <w:r>
        <w:rPr>
          <w:i/>
          <w:iCs/>
        </w:rPr>
        <w:t>Good Corporate Governance</w:t>
      </w:r>
      <w:r>
        <w:t xml:space="preserve"> di Desa Dedap telah mencerminkan nilai-nilai amanah, ṣidq (kejujuran), 'adl (keadilan), mas'uliyyah (tanggung jawab), dan maṣlaḥah (kemaslahata</w:t>
      </w:r>
      <w:r>
        <w:t>n). Pengelolaan Dana Desa dipandang tidak hanya sebagai kewajiban administratif kepada pemerintah, tetapi juga sebagai amanah yang harus dipertanggungjawabkan kepada Allah SWT dan masyarakat. Oleh karena itu, penerapan tata kelola yang baik tidak hanya ber</w:t>
      </w:r>
      <w:r>
        <w:t>orientasi pada kepatuhan terhadap regulasi, tetapi juga pada implementasi nilai-nilai syariah yang mendukung terciptanya pemerintahan desa yang transparan, adil, dan berintegritas.</w:t>
      </w:r>
    </w:p>
    <w:p w:rsidR="00EC7F0B" w:rsidRDefault="00D96321">
      <w:pPr>
        <w:spacing w:before="200" w:after="120"/>
      </w:pPr>
      <w:r>
        <w:rPr>
          <w:b/>
          <w:bCs/>
        </w:rPr>
        <w:t>ACKNOWLEDGEMENTS</w:t>
      </w:r>
    </w:p>
    <w:p w:rsidR="00EC7F0B" w:rsidRDefault="00D96321">
      <w:pPr>
        <w:spacing w:after="120"/>
        <w:ind w:firstLine="425"/>
        <w:jc w:val="both"/>
      </w:pPr>
      <w:r>
        <w:t>Penulis mengucapkan terima kasih kepada IAIN Datuk Laksema</w:t>
      </w:r>
      <w:r>
        <w:t>na Bengkalis, Pemerintah Desa Dedap, seluruh informan penelitian, dosen pembimbing, serta semua pihak yang telah memberikan dukungan, informasi, dan bantuan selama proses penelitian hingga penyusunan artikel ini.</w:t>
      </w:r>
    </w:p>
    <w:p w:rsidR="00EC7F0B" w:rsidRDefault="00D96321">
      <w:pPr>
        <w:spacing w:before="200" w:after="120"/>
      </w:pPr>
      <w:r>
        <w:rPr>
          <w:b/>
          <w:bCs/>
        </w:rPr>
        <w:t>REFERENSI</w:t>
      </w:r>
    </w:p>
    <w:p w:rsidR="00EC7F0B" w:rsidRDefault="00D96321">
      <w:pPr>
        <w:spacing w:after="80"/>
        <w:ind w:left="340" w:hanging="340"/>
        <w:jc w:val="both"/>
      </w:pPr>
      <w:r>
        <w:rPr>
          <w:sz w:val="16"/>
          <w:szCs w:val="16"/>
        </w:rPr>
        <w:t>[1] A. Y. Manrimawagau Bayan, Hal</w:t>
      </w:r>
      <w:r>
        <w:rPr>
          <w:sz w:val="16"/>
          <w:szCs w:val="16"/>
        </w:rPr>
        <w:t>iah, and A. Kusumawati, "Village Fund Accounting: Accountability Based Siri' Na Pacce in Realizing Sustainable Village Development," ISAFIR: Islamic Accounting and Finance Review, vol. 3, no. 2, pp. 165-171, 2022.</w:t>
      </w:r>
    </w:p>
    <w:p w:rsidR="00EC7F0B" w:rsidRDefault="00D96321">
      <w:pPr>
        <w:spacing w:after="80"/>
        <w:ind w:left="340" w:hanging="340"/>
        <w:jc w:val="both"/>
      </w:pPr>
      <w:r>
        <w:rPr>
          <w:sz w:val="16"/>
          <w:szCs w:val="16"/>
        </w:rPr>
        <w:t>[2] Abrellian and Handayani, Akuntabilitas</w:t>
      </w:r>
      <w:r>
        <w:rPr>
          <w:sz w:val="16"/>
          <w:szCs w:val="16"/>
        </w:rPr>
        <w:t xml:space="preserve"> dalam Pengelolaan Dana Desa. Yogyakarta: Andi, 2025.</w:t>
      </w:r>
    </w:p>
    <w:p w:rsidR="00EC7F0B" w:rsidRDefault="00D96321">
      <w:pPr>
        <w:spacing w:after="80"/>
        <w:ind w:left="340" w:hanging="340"/>
        <w:jc w:val="both"/>
      </w:pPr>
      <w:r>
        <w:rPr>
          <w:sz w:val="16"/>
          <w:szCs w:val="16"/>
        </w:rPr>
        <w:t>[3] A. Sutanto, Good Corporate Governance: Teori dan Praktik di Indonesia. Jakarta: Prenadamedia Group, 2020.</w:t>
      </w:r>
    </w:p>
    <w:p w:rsidR="00EC7F0B" w:rsidRDefault="00D96321">
      <w:pPr>
        <w:spacing w:after="80"/>
        <w:ind w:left="340" w:hanging="340"/>
        <w:jc w:val="both"/>
      </w:pPr>
      <w:r>
        <w:rPr>
          <w:sz w:val="16"/>
          <w:szCs w:val="16"/>
        </w:rPr>
        <w:t>[4] B. R. Setiyawati, M. T. H. Widyarti, and I. N. Romangsi, "Implementation of Good Corpora</w:t>
      </w:r>
      <w:r>
        <w:rPr>
          <w:sz w:val="16"/>
          <w:szCs w:val="16"/>
        </w:rPr>
        <w:t>te Governance Principles in Village Fund Management in Jambanan Village Government," Data: Journal of Information Systems and Management, vol. 3, no. 1, 2024.</w:t>
      </w:r>
    </w:p>
    <w:p w:rsidR="00EC7F0B" w:rsidRDefault="00D96321">
      <w:pPr>
        <w:spacing w:after="80"/>
        <w:ind w:left="340" w:hanging="340"/>
        <w:jc w:val="both"/>
      </w:pPr>
      <w:r>
        <w:rPr>
          <w:sz w:val="16"/>
          <w:szCs w:val="16"/>
        </w:rPr>
        <w:t>[5] D. Ambarwati, F. D. Lailawati, and D. U. Assiddiq, "Implementation of Good Corporate Governan</w:t>
      </w:r>
      <w:r>
        <w:rPr>
          <w:sz w:val="16"/>
          <w:szCs w:val="16"/>
        </w:rPr>
        <w:t>ce Principle in the Management and Accountability of Village-Owned Enterprises," Jurnal Cakrawala Hukum, vol. 14, no. 3, pp. 235-253, 2023.</w:t>
      </w:r>
    </w:p>
    <w:p w:rsidR="00EC7F0B" w:rsidRDefault="00D96321">
      <w:pPr>
        <w:spacing w:after="80"/>
        <w:ind w:left="340" w:hanging="340"/>
        <w:jc w:val="both"/>
      </w:pPr>
      <w:r>
        <w:rPr>
          <w:sz w:val="16"/>
          <w:szCs w:val="16"/>
        </w:rPr>
        <w:t>[6] D. W. Putra, M. Hasanudin, and A. Gunawan Putri, "Implementation of Good Corporate Governance Principles in Vill</w:t>
      </w:r>
      <w:r>
        <w:rPr>
          <w:sz w:val="16"/>
          <w:szCs w:val="16"/>
        </w:rPr>
        <w:t>age Fund Management in Tenggak Village Government, Sidoharjo, Sragen," Dinamika Akuntansi Keuangan dan Perbankan, vol. 12, no. 1, pp. 87-103, 2023, doi: 10.35315/dakp.v12i1.9388.</w:t>
      </w:r>
    </w:p>
    <w:p w:rsidR="00EC7F0B" w:rsidRDefault="00D96321">
      <w:pPr>
        <w:spacing w:after="80"/>
        <w:ind w:left="340" w:hanging="340"/>
        <w:jc w:val="both"/>
      </w:pPr>
      <w:r>
        <w:rPr>
          <w:sz w:val="16"/>
          <w:szCs w:val="16"/>
        </w:rPr>
        <w:t>[7] E. Engkus and A. S. Pitaloka, "Good Governance: Bojongmalaka Village Fund</w:t>
      </w:r>
      <w:r>
        <w:rPr>
          <w:sz w:val="16"/>
          <w:szCs w:val="16"/>
        </w:rPr>
        <w:t>, Baleendah District, Bandung Regency," Publica: Jurnal Pemikiran Administrasi Negara, vol. 15, no. 1, 2023.</w:t>
      </w:r>
    </w:p>
    <w:p w:rsidR="00EC7F0B" w:rsidRDefault="00D96321">
      <w:pPr>
        <w:spacing w:after="80"/>
        <w:ind w:left="340" w:hanging="340"/>
        <w:jc w:val="both"/>
      </w:pPr>
      <w:r>
        <w:rPr>
          <w:sz w:val="16"/>
          <w:szCs w:val="16"/>
        </w:rPr>
        <w:t>[8] E. Nirma, S. Anjarwati, T. Manshur, S. Sabirin, and M. R. Siregar, "</w:t>
      </w:r>
      <w:r>
        <w:rPr>
          <w:sz w:val="16"/>
          <w:szCs w:val="16"/>
        </w:rPr>
        <w:t>Village Financial Governance and National Resilience Through Accountable Fund Management," Jurnal Lemhannas RI, vol. 13, no. 2, pp. 306-320, 2025.</w:t>
      </w:r>
    </w:p>
    <w:p w:rsidR="00EC7F0B" w:rsidRDefault="00D96321">
      <w:pPr>
        <w:spacing w:after="80"/>
        <w:ind w:left="340" w:hanging="340"/>
        <w:jc w:val="both"/>
      </w:pPr>
      <w:r>
        <w:rPr>
          <w:sz w:val="16"/>
          <w:szCs w:val="16"/>
        </w:rPr>
        <w:lastRenderedPageBreak/>
        <w:t>[9] H. Sofyani, S. Pratolo, and Z. Saleh, "Do accountability and transparency promote community trust? Eviden</w:t>
      </w:r>
      <w:r>
        <w:rPr>
          <w:sz w:val="16"/>
          <w:szCs w:val="16"/>
        </w:rPr>
        <w:t>ce from village government in Indonesia," Journal of Accounting &amp; Organizational Change, vol. 18, no. 3, pp. 456-475, 2022, doi: 10.1108/JAOC-06-2020-0070.</w:t>
      </w:r>
    </w:p>
    <w:p w:rsidR="00EC7F0B" w:rsidRDefault="00D96321">
      <w:pPr>
        <w:spacing w:after="80"/>
        <w:ind w:left="340" w:hanging="340"/>
        <w:jc w:val="both"/>
      </w:pPr>
      <w:r>
        <w:rPr>
          <w:sz w:val="16"/>
          <w:szCs w:val="16"/>
        </w:rPr>
        <w:t>[10] I. Ngakil and M. E. Kaukab, "Transparansi dan Akuntabilitas Pengelolaan Keuangan Desa di Kabupa</w:t>
      </w:r>
      <w:r>
        <w:rPr>
          <w:sz w:val="16"/>
          <w:szCs w:val="16"/>
        </w:rPr>
        <w:t>ten Wonosobo," Journal of Economic, Management, Accounting and Technology, vol. 3, no. 2, pp. 92-107, 2020.</w:t>
      </w:r>
    </w:p>
    <w:p w:rsidR="00EC7F0B" w:rsidRDefault="00D96321">
      <w:pPr>
        <w:spacing w:after="80"/>
        <w:ind w:left="340" w:hanging="340"/>
        <w:jc w:val="both"/>
      </w:pPr>
      <w:r>
        <w:rPr>
          <w:sz w:val="16"/>
          <w:szCs w:val="16"/>
        </w:rPr>
        <w:t>[11] K. Khoirudin, N. Sasongko, and B. Witono, "Key Drivers of Village Fund Management Accountability: Insights from Sukoharjo District," Journal of</w:t>
      </w:r>
      <w:r>
        <w:rPr>
          <w:sz w:val="16"/>
          <w:szCs w:val="16"/>
        </w:rPr>
        <w:t xml:space="preserve"> Islamic Finance and Accounting, vol. 7, no. 1, 2024, doi: 10.22515/jifa.v7i1.9736.</w:t>
      </w:r>
    </w:p>
    <w:p w:rsidR="00EC7F0B" w:rsidRDefault="00D96321">
      <w:pPr>
        <w:spacing w:after="80"/>
        <w:ind w:left="340" w:hanging="340"/>
        <w:jc w:val="both"/>
      </w:pPr>
      <w:r>
        <w:rPr>
          <w:sz w:val="16"/>
          <w:szCs w:val="16"/>
        </w:rPr>
        <w:t>[12] Kementerian Desa PDTT, Panduan Praktis Pengelolaan Dana Desa. Jakarta: Kemendesa PDTT, 2019.</w:t>
      </w:r>
    </w:p>
    <w:p w:rsidR="00EC7F0B" w:rsidRDefault="00D96321">
      <w:pPr>
        <w:spacing w:after="80"/>
        <w:ind w:left="340" w:hanging="340"/>
        <w:jc w:val="both"/>
      </w:pPr>
      <w:r>
        <w:rPr>
          <w:sz w:val="16"/>
          <w:szCs w:val="16"/>
        </w:rPr>
        <w:t>[13] Komite Nasional Kebijakan Governance (KNKG), Pedoman Umum Good Corpor</w:t>
      </w:r>
      <w:r>
        <w:rPr>
          <w:sz w:val="16"/>
          <w:szCs w:val="16"/>
        </w:rPr>
        <w:t>ate Governance Indonesia. Jakarta: KNKG, 2006.</w:t>
      </w:r>
    </w:p>
    <w:p w:rsidR="00EC7F0B" w:rsidRDefault="00D96321">
      <w:pPr>
        <w:spacing w:after="80"/>
        <w:ind w:left="340" w:hanging="340"/>
        <w:jc w:val="both"/>
      </w:pPr>
      <w:r>
        <w:rPr>
          <w:sz w:val="16"/>
          <w:szCs w:val="16"/>
        </w:rPr>
        <w:t>[14] M. P. Sari, A. Yulianto, A. U. Mussanadah, M. S. Arumawan, and S. Raharja, "Accountability of Village Fund Management as an Effort to Accelerate the Achievement of Village SDGs," Indonesian Journal of Dev</w:t>
      </w:r>
      <w:r>
        <w:rPr>
          <w:sz w:val="16"/>
          <w:szCs w:val="16"/>
        </w:rPr>
        <w:t>otion and Empowerment, vol. 1, no. 1, 2025.</w:t>
      </w:r>
    </w:p>
    <w:p w:rsidR="00EC7F0B" w:rsidRDefault="00D96321">
      <w:pPr>
        <w:spacing w:after="80"/>
        <w:ind w:left="340" w:hanging="340"/>
        <w:jc w:val="both"/>
      </w:pPr>
      <w:r>
        <w:rPr>
          <w:sz w:val="16"/>
          <w:szCs w:val="16"/>
        </w:rPr>
        <w:t>[15] M. B. Miles, A. M. Huberman, and J. Saldana, Qualitative Data Analysis, 4th ed. California: Sage Publications, 2020.</w:t>
      </w:r>
    </w:p>
    <w:p w:rsidR="00EC7F0B" w:rsidRDefault="00D96321">
      <w:pPr>
        <w:spacing w:after="80"/>
        <w:ind w:left="340" w:hanging="340"/>
        <w:jc w:val="both"/>
      </w:pPr>
      <w:r>
        <w:rPr>
          <w:sz w:val="16"/>
          <w:szCs w:val="16"/>
        </w:rPr>
        <w:t>[16] Mustopadijaya, Administrasi Publik Modern: Teori dan Praktik. Jakarta: Ghalia Indones</w:t>
      </w:r>
      <w:r>
        <w:rPr>
          <w:sz w:val="16"/>
          <w:szCs w:val="16"/>
        </w:rPr>
        <w:t>ia, 2011.</w:t>
      </w:r>
    </w:p>
    <w:p w:rsidR="00EC7F0B" w:rsidRDefault="00D96321">
      <w:pPr>
        <w:spacing w:after="80"/>
        <w:ind w:left="340" w:hanging="340"/>
        <w:jc w:val="both"/>
      </w:pPr>
      <w:r>
        <w:rPr>
          <w:sz w:val="16"/>
          <w:szCs w:val="16"/>
        </w:rPr>
        <w:t>[17] Nugroho, Transparansi dalam Pemerintahan Digital. Jakarta: Rajawali Pers, 2025.</w:t>
      </w:r>
    </w:p>
    <w:p w:rsidR="00EC7F0B" w:rsidRDefault="00D96321">
      <w:pPr>
        <w:spacing w:after="80"/>
        <w:ind w:left="340" w:hanging="340"/>
        <w:jc w:val="both"/>
      </w:pPr>
      <w:r>
        <w:rPr>
          <w:sz w:val="16"/>
          <w:szCs w:val="16"/>
        </w:rPr>
        <w:t>[18] Peraturan Menteri Dalam Negeri Republik Indonesia Nomor 20 Tahun 2018 tentang Pengelolaan Keuangan Desa.</w:t>
      </w:r>
    </w:p>
    <w:p w:rsidR="00EC7F0B" w:rsidRDefault="00D96321">
      <w:pPr>
        <w:spacing w:after="80"/>
        <w:ind w:left="340" w:hanging="340"/>
        <w:jc w:val="both"/>
      </w:pPr>
      <w:r>
        <w:rPr>
          <w:sz w:val="16"/>
          <w:szCs w:val="16"/>
        </w:rPr>
        <w:t xml:space="preserve">[19] </w:t>
      </w:r>
      <w:r>
        <w:rPr>
          <w:sz w:val="16"/>
          <w:szCs w:val="16"/>
        </w:rPr>
        <w:t>Peraturan Presiden Republik Indonesia Nomor 95 Tahun 2018 tentang Sistem Pemerintahan Berbasis Elektronik.</w:t>
      </w:r>
    </w:p>
    <w:p w:rsidR="00EC7F0B" w:rsidRDefault="00D96321">
      <w:pPr>
        <w:spacing w:after="80"/>
        <w:ind w:left="340" w:hanging="340"/>
        <w:jc w:val="both"/>
      </w:pPr>
      <w:r>
        <w:rPr>
          <w:sz w:val="16"/>
          <w:szCs w:val="16"/>
        </w:rPr>
        <w:t>[20] Putri and Oktavia, Good Governance dalam Perspektif Islam. Bandung: Alfabeta, 2023.</w:t>
      </w:r>
    </w:p>
    <w:p w:rsidR="00EC7F0B" w:rsidRDefault="00D96321">
      <w:pPr>
        <w:spacing w:after="80"/>
        <w:ind w:left="340" w:hanging="340"/>
        <w:jc w:val="both"/>
      </w:pPr>
      <w:r>
        <w:rPr>
          <w:sz w:val="16"/>
          <w:szCs w:val="16"/>
        </w:rPr>
        <w:t>[21] R. E. Indrajit, Electronic Government. Yogyakarta: Andi</w:t>
      </w:r>
      <w:r>
        <w:rPr>
          <w:sz w:val="16"/>
          <w:szCs w:val="16"/>
        </w:rPr>
        <w:t>, 2006.</w:t>
      </w:r>
    </w:p>
    <w:p w:rsidR="00EC7F0B" w:rsidRDefault="00D96321">
      <w:pPr>
        <w:spacing w:after="80"/>
        <w:ind w:left="340" w:hanging="340"/>
        <w:jc w:val="both"/>
      </w:pPr>
      <w:r>
        <w:rPr>
          <w:sz w:val="16"/>
          <w:szCs w:val="16"/>
        </w:rPr>
        <w:t>[22] R. Fikra, S. Muchlis, and R. Jannah, "Pengelolaan Dana Desa Berbasis Maqashid Syariah untuk Mewujudkan Good Village Governance," ISAFIR: Islamic Accounting and Finance Review, vol. 5, no. 1, pp. 98-109, 2024, doi: 10.24252/isafir.v5i1.47454.</w:t>
      </w:r>
    </w:p>
    <w:p w:rsidR="00EC7F0B" w:rsidRDefault="00D96321">
      <w:pPr>
        <w:spacing w:after="80"/>
        <w:ind w:left="340" w:hanging="340"/>
        <w:jc w:val="both"/>
      </w:pPr>
      <w:r>
        <w:rPr>
          <w:sz w:val="16"/>
          <w:szCs w:val="16"/>
        </w:rPr>
        <w:t>[</w:t>
      </w:r>
      <w:r>
        <w:rPr>
          <w:sz w:val="16"/>
          <w:szCs w:val="16"/>
        </w:rPr>
        <w:t>23] R. Putri and N. C. Oktavia, "Penerapan Prinsip Good Governance dalam Pengelolaan Dana Desa Menurut Perspektif Islam," Jurnal Akuntansi dan Audit Syariah, vol. 4, no. 1, pp. 77-93, 2023, doi: 10.28918/jaais.v4i01.946.</w:t>
      </w:r>
    </w:p>
    <w:p w:rsidR="00EC7F0B" w:rsidRDefault="00D96321">
      <w:pPr>
        <w:spacing w:after="80"/>
        <w:ind w:left="340" w:hanging="340"/>
        <w:jc w:val="both"/>
      </w:pPr>
      <w:r>
        <w:rPr>
          <w:sz w:val="16"/>
          <w:szCs w:val="16"/>
        </w:rPr>
        <w:t>[24] Sugiyono, Metode Penelitian Ku</w:t>
      </w:r>
      <w:r>
        <w:rPr>
          <w:sz w:val="16"/>
          <w:szCs w:val="16"/>
        </w:rPr>
        <w:t>alitatif. Bandung: Alfabeta, 2023.</w:t>
      </w:r>
    </w:p>
    <w:p w:rsidR="00EC7F0B" w:rsidRDefault="00D96321">
      <w:pPr>
        <w:spacing w:after="80"/>
        <w:ind w:left="340" w:hanging="340"/>
        <w:jc w:val="both"/>
      </w:pPr>
      <w:r>
        <w:rPr>
          <w:sz w:val="16"/>
          <w:szCs w:val="16"/>
        </w:rPr>
        <w:t>[25] T. A. Safitri and R. N. Fathah, "Pengelolaan Alokasi Dana Desa dalam Mewujudkan Good Governance," Jurnal Litbang Sukowati, vol. 2, no. 1, pp. 89-105, 2018.</w:t>
      </w:r>
    </w:p>
    <w:p w:rsidR="00EC7F0B" w:rsidRDefault="00D96321">
      <w:pPr>
        <w:spacing w:after="80"/>
        <w:ind w:left="340" w:hanging="340"/>
        <w:jc w:val="both"/>
      </w:pPr>
      <w:r>
        <w:rPr>
          <w:sz w:val="16"/>
          <w:szCs w:val="16"/>
        </w:rPr>
        <w:t>[26] T. P. Astuti and Yulianto, "Good Governance Pengelolaan</w:t>
      </w:r>
      <w:r>
        <w:rPr>
          <w:sz w:val="16"/>
          <w:szCs w:val="16"/>
        </w:rPr>
        <w:t xml:space="preserve"> Keuangan Desa Menyongsong Berlakunya Undang-Undang Nomor 6 Tahun 2014," Berkala Akuntansi dan Keuangan Indonesia, vol. 1, no. 1, 2016.</w:t>
      </w:r>
    </w:p>
    <w:p w:rsidR="00EC7F0B" w:rsidRDefault="00D96321">
      <w:pPr>
        <w:spacing w:after="80"/>
        <w:ind w:left="340" w:hanging="340"/>
        <w:jc w:val="both"/>
      </w:pPr>
      <w:r>
        <w:rPr>
          <w:sz w:val="16"/>
          <w:szCs w:val="16"/>
        </w:rPr>
        <w:t>[27] Undang-Undang Republik Indonesia Nomor 14 Tahun 2008 tentang Keterbukaan Informasi Publik.</w:t>
      </w:r>
    </w:p>
    <w:p w:rsidR="00EC7F0B" w:rsidRDefault="00D96321">
      <w:pPr>
        <w:spacing w:after="80"/>
        <w:ind w:left="340" w:hanging="340"/>
        <w:jc w:val="both"/>
      </w:pPr>
      <w:r>
        <w:rPr>
          <w:sz w:val="16"/>
          <w:szCs w:val="16"/>
        </w:rPr>
        <w:t>[28] Undang-Undang Repub</w:t>
      </w:r>
      <w:r>
        <w:rPr>
          <w:sz w:val="16"/>
          <w:szCs w:val="16"/>
        </w:rPr>
        <w:t>lik Indonesia Nomor 6 Tahun 2014 tentang Desa.</w:t>
      </w:r>
    </w:p>
    <w:p w:rsidR="00EC7F0B" w:rsidRDefault="00D96321">
      <w:pPr>
        <w:spacing w:after="80"/>
        <w:ind w:left="340" w:hanging="340"/>
        <w:jc w:val="both"/>
      </w:pPr>
      <w:r>
        <w:rPr>
          <w:sz w:val="16"/>
          <w:szCs w:val="16"/>
        </w:rPr>
        <w:t>[29] World Bank, E-Government Handbook for Developing Countries. Washington DC: World Bank, 2002.</w:t>
      </w:r>
    </w:p>
    <w:p w:rsidR="00EC7F0B" w:rsidRDefault="00D96321">
      <w:pPr>
        <w:spacing w:after="80"/>
        <w:ind w:left="340" w:hanging="340"/>
        <w:jc w:val="both"/>
      </w:pPr>
      <w:r>
        <w:rPr>
          <w:sz w:val="16"/>
          <w:szCs w:val="16"/>
        </w:rPr>
        <w:t>[30] Y. R. Surya Dewi and R. N. Fathah, "Implementation of Good Corporate Governance in Village Financial Manag</w:t>
      </w:r>
      <w:r>
        <w:rPr>
          <w:sz w:val="16"/>
          <w:szCs w:val="16"/>
        </w:rPr>
        <w:t>ement Through Siskeudes," Assets: Jurnal Ekonomi, Manajemen dan Akuntansi, vol. 15, no. 1, pp. 103-120, 2025.</w:t>
      </w:r>
    </w:p>
    <w:sectPr w:rsidR="00EC7F0B">
      <w:headerReference w:type="default" r:id="rId7"/>
      <w:footerReference w:type="default" r:id="rId8"/>
      <w:pgSz w:w="11906" w:h="16838"/>
      <w:pgMar w:top="1418" w:right="1134" w:bottom="1134" w:left="1418" w:header="708" w:footer="70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96321" w:rsidRDefault="00D96321">
      <w:r>
        <w:separator/>
      </w:r>
    </w:p>
  </w:endnote>
  <w:endnote w:type="continuationSeparator" w:id="0">
    <w:p w:rsidR="00D96321" w:rsidRDefault="00D963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7F0B" w:rsidRDefault="00D96321">
    <w:pPr>
      <w:pBdr>
        <w:top w:val="single" w:sz="6" w:space="4" w:color="auto"/>
      </w:pBdr>
    </w:pPr>
    <w:r>
      <w:rPr>
        <w:i/>
        <w:iCs/>
        <w:sz w:val="16"/>
        <w:szCs w:val="16"/>
      </w:rPr>
      <w:t>TANJAK: Jurnal Tinjauan Syariah, Vol. xx, No. x, Bulan 20xx: 1-x</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96321" w:rsidRDefault="00D96321">
      <w:r>
        <w:separator/>
      </w:r>
    </w:p>
  </w:footnote>
  <w:footnote w:type="continuationSeparator" w:id="0">
    <w:p w:rsidR="00D96321" w:rsidRDefault="00D9632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7F0B" w:rsidRDefault="00D96321">
    <w:r>
      <w:rPr>
        <w:b/>
        <w:bCs/>
        <w:sz w:val="18"/>
        <w:szCs w:val="18"/>
      </w:rPr>
      <w:t>TANJAK; Jurnal Tinjauan Syariah</w:t>
    </w:r>
  </w:p>
  <w:p w:rsidR="00EC7F0B" w:rsidRDefault="00D96321" w:rsidP="001679D7">
    <w:r>
      <w:rPr>
        <w:sz w:val="16"/>
        <w:szCs w:val="16"/>
      </w:rPr>
      <w:t xml:space="preserve">Vol. xx, No. x, </w:t>
    </w:r>
    <w:r w:rsidR="001679D7">
      <w:rPr>
        <w:sz w:val="16"/>
        <w:szCs w:val="16"/>
      </w:rPr>
      <w:t>Juni 2025</w:t>
    </w:r>
  </w:p>
  <w:p w:rsidR="00EC7F0B" w:rsidRDefault="00D96321">
    <w:pPr>
      <w:pBdr>
        <w:bottom w:val="single" w:sz="6" w:space="4" w:color="auto"/>
      </w:pBdr>
      <w:tabs>
        <w:tab w:val="right" w:pos="9026"/>
      </w:tabs>
    </w:pPr>
    <w:r>
      <w:rPr>
        <w:sz w:val="16"/>
        <w:szCs w:val="16"/>
      </w:rPr>
      <w:t>ISSN: xxxx-xxxx, DOI: xx.xxxxx/tanjak.vxix.paperID</w:t>
    </w:r>
    <w:r>
      <w:rPr>
        <w:sz w:val="16"/>
        <w:szCs w:val="16"/>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A170ED8"/>
    <w:multiLevelType w:val="hybridMultilevel"/>
    <w:tmpl w:val="65FA9422"/>
    <w:lvl w:ilvl="0" w:tplc="840E7332">
      <w:start w:val="1"/>
      <w:numFmt w:val="bullet"/>
      <w:lvlText w:val="●"/>
      <w:lvlJc w:val="left"/>
      <w:pPr>
        <w:ind w:left="720" w:hanging="360"/>
      </w:pPr>
    </w:lvl>
    <w:lvl w:ilvl="1" w:tplc="B1BABA9E">
      <w:start w:val="1"/>
      <w:numFmt w:val="bullet"/>
      <w:lvlText w:val="○"/>
      <w:lvlJc w:val="left"/>
      <w:pPr>
        <w:ind w:left="1440" w:hanging="360"/>
      </w:pPr>
    </w:lvl>
    <w:lvl w:ilvl="2" w:tplc="DCC2A878">
      <w:start w:val="1"/>
      <w:numFmt w:val="bullet"/>
      <w:lvlText w:val="■"/>
      <w:lvlJc w:val="left"/>
      <w:pPr>
        <w:ind w:left="2160" w:hanging="360"/>
      </w:pPr>
    </w:lvl>
    <w:lvl w:ilvl="3" w:tplc="7ECA9944">
      <w:start w:val="1"/>
      <w:numFmt w:val="bullet"/>
      <w:lvlText w:val="●"/>
      <w:lvlJc w:val="left"/>
      <w:pPr>
        <w:ind w:left="2880" w:hanging="360"/>
      </w:pPr>
    </w:lvl>
    <w:lvl w:ilvl="4" w:tplc="4394D4F0">
      <w:start w:val="1"/>
      <w:numFmt w:val="bullet"/>
      <w:lvlText w:val="○"/>
      <w:lvlJc w:val="left"/>
      <w:pPr>
        <w:ind w:left="3600" w:hanging="360"/>
      </w:pPr>
    </w:lvl>
    <w:lvl w:ilvl="5" w:tplc="82682D86">
      <w:start w:val="1"/>
      <w:numFmt w:val="bullet"/>
      <w:lvlText w:val="■"/>
      <w:lvlJc w:val="left"/>
      <w:pPr>
        <w:ind w:left="4320" w:hanging="360"/>
      </w:pPr>
    </w:lvl>
    <w:lvl w:ilvl="6" w:tplc="B404B3D8">
      <w:start w:val="1"/>
      <w:numFmt w:val="bullet"/>
      <w:lvlText w:val="●"/>
      <w:lvlJc w:val="left"/>
      <w:pPr>
        <w:ind w:left="5040" w:hanging="360"/>
      </w:pPr>
    </w:lvl>
    <w:lvl w:ilvl="7" w:tplc="03CC0B42">
      <w:start w:val="1"/>
      <w:numFmt w:val="bullet"/>
      <w:lvlText w:val="●"/>
      <w:lvlJc w:val="left"/>
      <w:pPr>
        <w:ind w:left="5760" w:hanging="360"/>
      </w:pPr>
    </w:lvl>
    <w:lvl w:ilvl="8" w:tplc="222A1E3E">
      <w:start w:val="1"/>
      <w:numFmt w:val="bullet"/>
      <w:lvlText w:val="●"/>
      <w:lvlJc w:val="left"/>
      <w:pPr>
        <w:ind w:left="6480" w:hanging="360"/>
      </w:pPr>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7F0B"/>
    <w:rsid w:val="001679D7"/>
    <w:rsid w:val="00D96321"/>
    <w:rsid w:val="00EC7F0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3B600C3-DF16-421B-8118-5864C2FC7D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qFormat/>
    <w:pPr>
      <w:outlineLvl w:val="0"/>
    </w:pPr>
    <w:rPr>
      <w:color w:val="2E74B5"/>
      <w:sz w:val="32"/>
      <w:szCs w:val="32"/>
    </w:rPr>
  </w:style>
  <w:style w:type="paragraph" w:styleId="Heading2">
    <w:name w:val="heading 2"/>
    <w:qFormat/>
    <w:pPr>
      <w:outlineLvl w:val="1"/>
    </w:pPr>
    <w:rPr>
      <w:color w:val="2E74B5"/>
      <w:sz w:val="26"/>
      <w:szCs w:val="26"/>
    </w:rPr>
  </w:style>
  <w:style w:type="paragraph" w:styleId="Heading3">
    <w:name w:val="heading 3"/>
    <w:qFormat/>
    <w:pPr>
      <w:outlineLvl w:val="2"/>
    </w:pPr>
    <w:rPr>
      <w:color w:val="1F4D78"/>
      <w:sz w:val="24"/>
      <w:szCs w:val="24"/>
    </w:rPr>
  </w:style>
  <w:style w:type="paragraph" w:styleId="Heading4">
    <w:name w:val="heading 4"/>
    <w:qFormat/>
    <w:pPr>
      <w:outlineLvl w:val="3"/>
    </w:pPr>
    <w:rPr>
      <w:i/>
      <w:iCs/>
      <w:color w:val="2E74B5"/>
    </w:rPr>
  </w:style>
  <w:style w:type="paragraph" w:styleId="Heading5">
    <w:name w:val="heading 5"/>
    <w:qFormat/>
    <w:pPr>
      <w:outlineLvl w:val="4"/>
    </w:pPr>
    <w:rPr>
      <w:color w:val="2E74B5"/>
    </w:rPr>
  </w:style>
  <w:style w:type="paragraph" w:styleId="Heading6">
    <w:name w:val="heading 6"/>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1679D7"/>
    <w:pPr>
      <w:tabs>
        <w:tab w:val="center" w:pos="4680"/>
        <w:tab w:val="right" w:pos="9360"/>
      </w:tabs>
    </w:pPr>
  </w:style>
  <w:style w:type="character" w:customStyle="1" w:styleId="HeaderChar">
    <w:name w:val="Header Char"/>
    <w:basedOn w:val="DefaultParagraphFont"/>
    <w:link w:val="Header"/>
    <w:uiPriority w:val="99"/>
    <w:rsid w:val="001679D7"/>
  </w:style>
  <w:style w:type="paragraph" w:styleId="Footer">
    <w:name w:val="footer"/>
    <w:basedOn w:val="Normal"/>
    <w:link w:val="FooterChar"/>
    <w:uiPriority w:val="99"/>
    <w:unhideWhenUsed/>
    <w:rsid w:val="001679D7"/>
    <w:pPr>
      <w:tabs>
        <w:tab w:val="center" w:pos="4680"/>
        <w:tab w:val="right" w:pos="9360"/>
      </w:tabs>
    </w:pPr>
  </w:style>
  <w:style w:type="character" w:customStyle="1" w:styleId="FooterChar">
    <w:name w:val="Footer Char"/>
    <w:basedOn w:val="DefaultParagraphFont"/>
    <w:link w:val="Footer"/>
    <w:uiPriority w:val="99"/>
    <w:rsid w:val="001679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3277</Words>
  <Characters>18680</Characters>
  <Application>Microsoft Office Word</Application>
  <DocSecurity>0</DocSecurity>
  <Lines>155</Lines>
  <Paragraphs>43</Paragraphs>
  <ScaleCrop>false</ScaleCrop>
  <Company/>
  <LinksUpToDate>false</LinksUpToDate>
  <CharactersWithSpaces>21914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Microsoft account</cp:lastModifiedBy>
  <cp:revision>2</cp:revision>
  <dcterms:created xsi:type="dcterms:W3CDTF">2026-08-26T04:40:00Z</dcterms:created>
  <dcterms:modified xsi:type="dcterms:W3CDTF">2026-09-08T03:56:00Z</dcterms:modified>
</cp:coreProperties>
</file>