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C85" w:rsidRDefault="005538B5">
      <w:pPr>
        <w:spacing w:after="200"/>
        <w:jc w:val="center"/>
      </w:pPr>
      <w:r>
        <w:rPr>
          <w:b/>
          <w:bCs/>
          <w:sz w:val="32"/>
          <w:szCs w:val="32"/>
        </w:rPr>
        <w:t>Pengaruh Operating Profit Margin dan Cash Holding terhadap Perataan Laba pada Perusahaan Manufaktur yang Terdaftar di Indeks Saham Syariah Indonesia (ISSI)</w:t>
      </w:r>
    </w:p>
    <w:p w:rsidR="007F2C85" w:rsidRDefault="005538B5">
      <w:pPr>
        <w:spacing w:after="60"/>
        <w:jc w:val="center"/>
      </w:pPr>
      <w:r>
        <w:rPr>
          <w:b/>
          <w:bCs/>
        </w:rPr>
        <w:t>Riha Datul Aisyah</w:t>
      </w:r>
      <w:r>
        <w:rPr>
          <w:b/>
          <w:bCs/>
          <w:vertAlign w:val="superscript"/>
        </w:rPr>
        <w:t>1</w:t>
      </w:r>
    </w:p>
    <w:p w:rsidR="007F2C85" w:rsidRDefault="005538B5">
      <w:pPr>
        <w:spacing w:after="300"/>
        <w:jc w:val="center"/>
      </w:pPr>
      <w:r>
        <w:rPr>
          <w:sz w:val="16"/>
          <w:szCs w:val="16"/>
          <w:vertAlign w:val="superscript"/>
        </w:rPr>
        <w:t>1</w:t>
      </w:r>
      <w:r>
        <w:rPr>
          <w:i/>
          <w:iCs/>
          <w:sz w:val="16"/>
          <w:szCs w:val="16"/>
        </w:rPr>
        <w:t>Program Studi Akuntansi Syariah, Fakultas Syariah dan Ekonomi Islam, Institut Agama Islam Negeri (IAIN) Datuk Laksemana Bengkalis, Indonesia</w:t>
      </w:r>
    </w:p>
    <w:tbl>
      <w:tblPr>
        <w:tblW w:w="10032" w:type="dxa"/>
        <w:tblInd w:w="-10" w:type="dxa"/>
        <w:tblBorders>
          <w:top w:val="single" w:sz="6" w:space="0" w:color="auto"/>
          <w:bottom w:val="single" w:sz="6" w:space="0" w:color="auto"/>
        </w:tblBorders>
        <w:tblCellMar>
          <w:left w:w="10" w:type="dxa"/>
          <w:right w:w="10" w:type="dxa"/>
        </w:tblCellMar>
        <w:tblLook w:val="0000" w:firstRow="0" w:lastRow="0" w:firstColumn="0" w:lastColumn="0" w:noHBand="0" w:noVBand="0"/>
      </w:tblPr>
      <w:tblGrid>
        <w:gridCol w:w="3200"/>
        <w:gridCol w:w="6832"/>
      </w:tblGrid>
      <w:tr w:rsidR="007F2C85">
        <w:tblPrEx>
          <w:tblCellMar>
            <w:top w:w="0" w:type="dxa"/>
            <w:bottom w:w="0" w:type="dxa"/>
          </w:tblCellMar>
        </w:tblPrEx>
        <w:tc>
          <w:tcPr>
            <w:tcW w:w="3200" w:type="dxa"/>
          </w:tcPr>
          <w:p w:rsidR="007F2C85" w:rsidRDefault="005538B5">
            <w:pPr>
              <w:spacing w:after="100"/>
            </w:pPr>
            <w:r>
              <w:rPr>
                <w:b/>
                <w:bCs/>
                <w:sz w:val="18"/>
                <w:szCs w:val="18"/>
              </w:rPr>
              <w:t>Article Info</w:t>
            </w:r>
          </w:p>
          <w:p w:rsidR="007F2C85" w:rsidRDefault="005538B5">
            <w:pPr>
              <w:spacing w:after="60"/>
            </w:pPr>
            <w:r>
              <w:rPr>
                <w:b/>
                <w:bCs/>
                <w:i/>
                <w:iCs/>
                <w:sz w:val="18"/>
                <w:szCs w:val="18"/>
              </w:rPr>
              <w:t>Article history:</w:t>
            </w:r>
          </w:p>
          <w:p w:rsidR="007F2C85" w:rsidRDefault="007F2C85">
            <w:pPr>
              <w:spacing w:after="200"/>
              <w:rPr>
                <w:sz w:val="18"/>
                <w:szCs w:val="18"/>
              </w:rPr>
            </w:pPr>
          </w:p>
          <w:p w:rsidR="00BA67A1" w:rsidRDefault="00BA67A1">
            <w:pPr>
              <w:spacing w:after="200"/>
              <w:rPr>
                <w:sz w:val="18"/>
                <w:szCs w:val="18"/>
              </w:rPr>
            </w:pPr>
          </w:p>
          <w:p w:rsidR="00BA67A1" w:rsidRDefault="00BA67A1">
            <w:pPr>
              <w:spacing w:after="200"/>
            </w:pPr>
          </w:p>
          <w:p w:rsidR="007F2C85" w:rsidRDefault="005538B5">
            <w:pPr>
              <w:spacing w:after="60"/>
            </w:pPr>
            <w:r>
              <w:rPr>
                <w:b/>
                <w:bCs/>
                <w:i/>
                <w:iCs/>
                <w:sz w:val="18"/>
                <w:szCs w:val="18"/>
              </w:rPr>
              <w:t>Keywords:</w:t>
            </w:r>
          </w:p>
          <w:p w:rsidR="007F2C85" w:rsidRDefault="005538B5">
            <w:r>
              <w:rPr>
                <w:i/>
                <w:iCs/>
                <w:sz w:val="18"/>
                <w:szCs w:val="18"/>
              </w:rPr>
              <w:t>Operating pro</w:t>
            </w:r>
            <w:r>
              <w:rPr>
                <w:i/>
                <w:iCs/>
                <w:sz w:val="18"/>
                <w:szCs w:val="18"/>
              </w:rPr>
              <w:t>fit margin</w:t>
            </w:r>
          </w:p>
          <w:p w:rsidR="007F2C85" w:rsidRDefault="005538B5">
            <w:r>
              <w:rPr>
                <w:i/>
                <w:iCs/>
                <w:sz w:val="18"/>
                <w:szCs w:val="18"/>
              </w:rPr>
              <w:t>Cash holding</w:t>
            </w:r>
          </w:p>
          <w:p w:rsidR="007F2C85" w:rsidRDefault="005538B5">
            <w:r>
              <w:rPr>
                <w:i/>
                <w:iCs/>
                <w:sz w:val="18"/>
                <w:szCs w:val="18"/>
              </w:rPr>
              <w:t>Income smoothing</w:t>
            </w:r>
          </w:p>
          <w:p w:rsidR="007F2C85" w:rsidRDefault="005538B5">
            <w:r>
              <w:rPr>
                <w:i/>
                <w:iCs/>
                <w:sz w:val="18"/>
                <w:szCs w:val="18"/>
              </w:rPr>
              <w:t>Sharia stock index</w:t>
            </w:r>
          </w:p>
          <w:p w:rsidR="007F2C85" w:rsidRDefault="005538B5">
            <w:r>
              <w:rPr>
                <w:i/>
                <w:iCs/>
                <w:sz w:val="18"/>
                <w:szCs w:val="18"/>
              </w:rPr>
              <w:t>Logistic regression</w:t>
            </w:r>
          </w:p>
        </w:tc>
        <w:tc>
          <w:tcPr>
            <w:tcW w:w="6832" w:type="dxa"/>
          </w:tcPr>
          <w:p w:rsidR="007F2C85" w:rsidRDefault="005538B5">
            <w:pPr>
              <w:spacing w:after="100"/>
            </w:pPr>
            <w:r>
              <w:rPr>
                <w:b/>
                <w:bCs/>
                <w:sz w:val="18"/>
                <w:szCs w:val="18"/>
              </w:rPr>
              <w:t>ABSTRACT</w:t>
            </w:r>
          </w:p>
          <w:p w:rsidR="007F2C85" w:rsidRDefault="005538B5">
            <w:pPr>
              <w:spacing w:after="120"/>
              <w:jc w:val="both"/>
            </w:pPr>
            <w:r>
              <w:rPr>
                <w:sz w:val="18"/>
                <w:szCs w:val="18"/>
              </w:rPr>
              <w:t>Financial statement manipulation through income smoothing techniques is often carried out by companies in an effort to create a more stable performance image, especial</w:t>
            </w:r>
            <w:r>
              <w:rPr>
                <w:sz w:val="18"/>
                <w:szCs w:val="18"/>
              </w:rPr>
              <w:t>ly for companies experiencing losses. This practice aims to demonstrate consistent profit conditions in both the previous and subsequent periods, as can be observed in food and beverage manufacturing companies. This research is motivated by the significanc</w:t>
            </w:r>
            <w:r>
              <w:rPr>
                <w:sz w:val="18"/>
                <w:szCs w:val="18"/>
              </w:rPr>
              <w:t>e of profit stability as an indicator of company performance and management's tendency to smooth profits amidst uncertain economic and political situations. The focus of this study is to examine the impact of operating profit margin and cash holding on inc</w:t>
            </w:r>
            <w:r>
              <w:rPr>
                <w:sz w:val="18"/>
                <w:szCs w:val="18"/>
              </w:rPr>
              <w:t>ome smoothing practices in food and beverage manufacturing companies listed on the Indonesian Sharia Stock Index (ISSI) during the 2021-2024 period. The research method used a quantitative approach relying on secondary data in the form of companies' annual</w:t>
            </w:r>
            <w:r>
              <w:rPr>
                <w:sz w:val="18"/>
                <w:szCs w:val="18"/>
              </w:rPr>
              <w:t xml:space="preserve"> financial reports. The sampling technique used was purposive sampling, resulting in 17 companies as the research sample. Data analysis was performed using logistic regression with the help of Eviews13. In this study, income smoothing was designated as the</w:t>
            </w:r>
            <w:r>
              <w:rPr>
                <w:sz w:val="18"/>
                <w:szCs w:val="18"/>
              </w:rPr>
              <w:t xml:space="preserve"> dependent variable (Y), while operating profit margin and cash holding were designated as the independent variables (X). The results of the study indicate that operating profit margin influences income smoothing, while cash holding does not show a signifi</w:t>
            </w:r>
            <w:r>
              <w:rPr>
                <w:sz w:val="18"/>
                <w:szCs w:val="18"/>
              </w:rPr>
              <w:t>cant effect. However, both variables simultaneously have a significant influence on income smoothing practices.</w:t>
            </w:r>
          </w:p>
          <w:p w:rsidR="007F2C85" w:rsidRDefault="005538B5">
            <w:pPr>
              <w:spacing w:after="80"/>
              <w:jc w:val="both"/>
            </w:pPr>
            <w:r>
              <w:rPr>
                <w:i/>
                <w:iCs/>
                <w:sz w:val="18"/>
                <w:szCs w:val="18"/>
              </w:rPr>
              <w:t>This is an open access article under the CC BY-SA license.</w:t>
            </w:r>
          </w:p>
        </w:tc>
      </w:tr>
    </w:tbl>
    <w:p w:rsidR="007F2C85" w:rsidRDefault="007F2C85">
      <w:pPr>
        <w:spacing w:after="100"/>
      </w:pPr>
    </w:p>
    <w:tbl>
      <w:tblPr>
        <w:tblW w:w="10032" w:type="dxa"/>
        <w:tblInd w:w="-10" w:type="dxa"/>
        <w:tblBorders>
          <w:bottom w:val="single" w:sz="6" w:space="0" w:color="auto"/>
        </w:tblBorders>
        <w:tblCellMar>
          <w:left w:w="10" w:type="dxa"/>
          <w:right w:w="10" w:type="dxa"/>
        </w:tblCellMar>
        <w:tblLook w:val="0000" w:firstRow="0" w:lastRow="0" w:firstColumn="0" w:lastColumn="0" w:noHBand="0" w:noVBand="0"/>
      </w:tblPr>
      <w:tblGrid>
        <w:gridCol w:w="3200"/>
        <w:gridCol w:w="6832"/>
      </w:tblGrid>
      <w:tr w:rsidR="007F2C85">
        <w:tblPrEx>
          <w:tblCellMar>
            <w:top w:w="0" w:type="dxa"/>
            <w:bottom w:w="0" w:type="dxa"/>
          </w:tblCellMar>
        </w:tblPrEx>
        <w:tc>
          <w:tcPr>
            <w:tcW w:w="3200" w:type="dxa"/>
          </w:tcPr>
          <w:p w:rsidR="007F2C85" w:rsidRDefault="005538B5">
            <w:pPr>
              <w:spacing w:after="60"/>
            </w:pPr>
            <w:r>
              <w:rPr>
                <w:b/>
                <w:bCs/>
                <w:i/>
                <w:iCs/>
                <w:sz w:val="18"/>
                <w:szCs w:val="18"/>
              </w:rPr>
              <w:t>Kata Kunci:</w:t>
            </w:r>
          </w:p>
          <w:p w:rsidR="007F2C85" w:rsidRDefault="005538B5">
            <w:r>
              <w:rPr>
                <w:i/>
                <w:iCs/>
                <w:sz w:val="18"/>
                <w:szCs w:val="18"/>
              </w:rPr>
              <w:t>Operating profit margin</w:t>
            </w:r>
          </w:p>
          <w:p w:rsidR="007F2C85" w:rsidRDefault="005538B5">
            <w:r>
              <w:rPr>
                <w:i/>
                <w:iCs/>
                <w:sz w:val="18"/>
                <w:szCs w:val="18"/>
              </w:rPr>
              <w:t>Cash holding</w:t>
            </w:r>
          </w:p>
          <w:p w:rsidR="007F2C85" w:rsidRDefault="005538B5">
            <w:r>
              <w:rPr>
                <w:i/>
                <w:iCs/>
                <w:sz w:val="18"/>
                <w:szCs w:val="18"/>
              </w:rPr>
              <w:t>Perataan laba</w:t>
            </w:r>
          </w:p>
        </w:tc>
        <w:tc>
          <w:tcPr>
            <w:tcW w:w="6832" w:type="dxa"/>
          </w:tcPr>
          <w:p w:rsidR="007F2C85" w:rsidRDefault="005538B5">
            <w:pPr>
              <w:spacing w:after="100"/>
            </w:pPr>
            <w:r>
              <w:rPr>
                <w:b/>
                <w:bCs/>
                <w:sz w:val="18"/>
                <w:szCs w:val="18"/>
              </w:rPr>
              <w:t>Abstrak</w:t>
            </w:r>
          </w:p>
          <w:p w:rsidR="007F2C85" w:rsidRDefault="005538B5">
            <w:pPr>
              <w:spacing w:after="100"/>
              <w:jc w:val="both"/>
            </w:pPr>
            <w:r>
              <w:rPr>
                <w:sz w:val="18"/>
                <w:szCs w:val="18"/>
              </w:rPr>
              <w:t>Manipulasi laporan keuangan melalui teknik perataan laba kerap dilakukan oleh perusahaan sebagai upaya untuk menciptakan gambaran kinerja yang lebih stabil, terutama pada perusahaan yang mengalami kerugian. Praktik ini bertujuan untuk menunjukkan kondisi l</w:t>
            </w:r>
            <w:r>
              <w:rPr>
                <w:sz w:val="18"/>
                <w:szCs w:val="18"/>
              </w:rPr>
              <w:t>aba yang konsisten baik pada periode sebelumnya maupun periode berikutnya, seperti yang dapat diamati pada perusahaan manufaktur di bidang makanan dan minuman. Penelitian ini dilatarbelakangi oleh signifikansi stabilitas laba sebagai penanda kinerja perusa</w:t>
            </w:r>
            <w:r>
              <w:rPr>
                <w:sz w:val="18"/>
                <w:szCs w:val="18"/>
              </w:rPr>
              <w:t>haan serta kecenderungan manajemen untuk melakukan perataan laba di tengah situasi ekonomi dan politik yang tidak menentu. Fokus penelitian ini adalah untuk mengkaji dampak operating profit margin dan cash holding terhadap praktik perataan laba pada perusa</w:t>
            </w:r>
            <w:r>
              <w:rPr>
                <w:sz w:val="18"/>
                <w:szCs w:val="18"/>
              </w:rPr>
              <w:t xml:space="preserve">haan manufaktur subsektor makanan dan minuman yang tercatat di Indeks Saham Syariah Indonesia (ISSI) selama periode 2021-2024. Metode penelitian yang digunakan adalah pendekatan kuantitatif dengan mengandalkan data sekunder berupa laporan keuangan tahunan </w:t>
            </w:r>
            <w:r>
              <w:rPr>
                <w:sz w:val="18"/>
                <w:szCs w:val="18"/>
              </w:rPr>
              <w:t>perusahaan. Teknik pengambilan sampel dilakukan dengan purposive sampling, menghasilkan 17 perusahaan sebagai sampel penelitian. Analisis data dilakukan menggunakan regresi logistik dengan bantuan aplikasi Eviews13. Dalam penelitian ini, perataan laba dite</w:t>
            </w:r>
            <w:r>
              <w:rPr>
                <w:sz w:val="18"/>
                <w:szCs w:val="18"/>
              </w:rPr>
              <w:t>tapkan sebagai variabel dependen (Y), sementara operating profit margin dan cash holding sebagai variabel independen (X). Hasil penelitian menunjukkan bahwa operating profit margin memiliki pengaruh terhadap perataan laba, sedangkan cash holding tidak menu</w:t>
            </w:r>
            <w:r>
              <w:rPr>
                <w:sz w:val="18"/>
                <w:szCs w:val="18"/>
              </w:rPr>
              <w:t>njukkan pengaruh yang signifikan. Namun, secara bersamaan, kedua variabel tersebut memiliki pengaruh yang signifikan terhadap praktik perataan laba.</w:t>
            </w:r>
          </w:p>
        </w:tc>
      </w:tr>
    </w:tbl>
    <w:p w:rsidR="007F2C85" w:rsidRDefault="007F2C85">
      <w:pPr>
        <w:spacing w:after="150"/>
      </w:pPr>
    </w:p>
    <w:tbl>
      <w:tblPr>
        <w:tblW w:w="10032" w:type="dxa"/>
        <w:tblInd w:w="-10" w:type="dxa"/>
        <w:tblBorders>
          <w:top w:val="single" w:sz="6" w:space="0" w:color="auto"/>
          <w:bottom w:val="single" w:sz="6" w:space="0" w:color="auto"/>
        </w:tblBorders>
        <w:tblCellMar>
          <w:left w:w="10" w:type="dxa"/>
          <w:right w:w="10" w:type="dxa"/>
        </w:tblCellMar>
        <w:tblLook w:val="0000" w:firstRow="0" w:lastRow="0" w:firstColumn="0" w:lastColumn="0" w:noHBand="0" w:noVBand="0"/>
      </w:tblPr>
      <w:tblGrid>
        <w:gridCol w:w="10032"/>
      </w:tblGrid>
      <w:tr w:rsidR="007F2C85">
        <w:tblPrEx>
          <w:tblCellMar>
            <w:top w:w="0" w:type="dxa"/>
            <w:bottom w:w="0" w:type="dxa"/>
          </w:tblCellMar>
        </w:tblPrEx>
        <w:tc>
          <w:tcPr>
            <w:tcW w:w="10032" w:type="dxa"/>
          </w:tcPr>
          <w:p w:rsidR="007F2C85" w:rsidRDefault="005538B5">
            <w:pPr>
              <w:spacing w:after="100"/>
            </w:pPr>
            <w:r>
              <w:rPr>
                <w:b/>
                <w:bCs/>
                <w:i/>
                <w:iCs/>
                <w:sz w:val="18"/>
                <w:szCs w:val="18"/>
              </w:rPr>
              <w:t>Corresponding Author:</w:t>
            </w:r>
          </w:p>
          <w:p w:rsidR="007F2C85" w:rsidRDefault="005538B5">
            <w:r>
              <w:rPr>
                <w:sz w:val="18"/>
                <w:szCs w:val="18"/>
              </w:rPr>
              <w:t>Riha Datul Aisyah</w:t>
            </w:r>
          </w:p>
          <w:p w:rsidR="007F2C85" w:rsidRDefault="005538B5">
            <w:r>
              <w:rPr>
                <w:b/>
                <w:bCs/>
                <w:sz w:val="18"/>
                <w:szCs w:val="18"/>
              </w:rPr>
              <w:t>Program Studi Akuntansi Syariah, Fakultas Syariah dan Ekonomi Islam</w:t>
            </w:r>
          </w:p>
          <w:p w:rsidR="007F2C85" w:rsidRDefault="005538B5">
            <w:r>
              <w:rPr>
                <w:b/>
                <w:bCs/>
                <w:sz w:val="18"/>
                <w:szCs w:val="18"/>
              </w:rPr>
              <w:t>Institut Agama Islam Negeri (IAIN) Datuk Laksemana Bengkalis</w:t>
            </w:r>
          </w:p>
          <w:p w:rsidR="007F2C85" w:rsidRDefault="005538B5">
            <w:pPr>
              <w:spacing w:after="100"/>
            </w:pPr>
            <w:r>
              <w:rPr>
                <w:sz w:val="18"/>
                <w:szCs w:val="18"/>
              </w:rPr>
              <w:t xml:space="preserve">Email: </w:t>
            </w:r>
            <w:hyperlink r:id="rId7" w:history="1">
              <w:r w:rsidR="00370A63" w:rsidRPr="00A26646">
                <w:rPr>
                  <w:rStyle w:val="Hyperlink"/>
                  <w:sz w:val="18"/>
                  <w:szCs w:val="18"/>
                </w:rPr>
                <w:t>rihaa002@gmail.com</w:t>
              </w:r>
            </w:hyperlink>
          </w:p>
        </w:tc>
      </w:tr>
    </w:tbl>
    <w:p w:rsidR="007F2C85" w:rsidRDefault="007F2C85">
      <w:pPr>
        <w:spacing w:after="200"/>
      </w:pPr>
    </w:p>
    <w:p w:rsidR="00370A63" w:rsidRDefault="00370A63">
      <w:pPr>
        <w:spacing w:after="200"/>
      </w:pPr>
    </w:p>
    <w:p w:rsidR="00370A63" w:rsidRDefault="00370A63">
      <w:pPr>
        <w:spacing w:after="200"/>
      </w:pPr>
      <w:bookmarkStart w:id="0" w:name="_GoBack"/>
      <w:bookmarkEnd w:id="0"/>
    </w:p>
    <w:p w:rsidR="007F2C85" w:rsidRDefault="005538B5">
      <w:pPr>
        <w:spacing w:before="240" w:after="120"/>
      </w:pPr>
      <w:r>
        <w:rPr>
          <w:b/>
          <w:bCs/>
        </w:rPr>
        <w:lastRenderedPageBreak/>
        <w:t>1. PENDAHULUAN</w:t>
      </w:r>
    </w:p>
    <w:p w:rsidR="007F2C85" w:rsidRDefault="005538B5">
      <w:pPr>
        <w:spacing w:after="120"/>
        <w:ind w:firstLine="425"/>
        <w:jc w:val="both"/>
      </w:pPr>
      <w:r>
        <w:t>Data keuangan yang disajikan dalam laporan perusahaan berperan penting sebagai bahan pertimbangan utama bagi investor dalam menentukan keputusan investasi. Melalui laporan laba, para investor dapat mengukur konsistensi kinerja keuangan suatu perusahaan. La</w:t>
      </w:r>
      <w:r>
        <w:t xml:space="preserve">ba yang stabil sering kali dijadikan acuan untuk menilai keberlangsungan operasional bisnis serta potensi pertumbuhan perusahaan di masa yang </w:t>
      </w:r>
      <w:proofErr w:type="gramStart"/>
      <w:r>
        <w:t>akan</w:t>
      </w:r>
      <w:proofErr w:type="gramEnd"/>
      <w:r>
        <w:t xml:space="preserve"> datang [1]. Laporan laba perusahaan memberikan gambaran yang jelas bagi investor mengenai konsistensi perform</w:t>
      </w:r>
      <w:r>
        <w:t>a keuangan suatu bisnis. Tingkat stabilitas laba biasanya mencerminkan kesehatan operasional perusahaan sekaligus menjadi prediktor untuk pertumbuhan bisnis di masa mendatang [2]. Meskipun demikian, di tengah ketidakpastian ekonomi dan politik nasional, fl</w:t>
      </w:r>
      <w:r>
        <w:t xml:space="preserve">uktuasi informasi laba dapat menimbulkan kekhawatiran di kalangan investor, terutama di pasar saham syariah yang menjunjung tinggi prinsip transparansi dan kejujuran dalam pelaporan keuangan. Dalam konteks itu, terdapat suatu praktik yang disebut perataan </w:t>
      </w:r>
      <w:r>
        <w:t>laba, yaitu [3] upaya untuk menjaga stabilitas laba yang tercatat dari satu periode ke periode berikutnya. Praktik ini tidak selalu buruk, karena dalam keadaan tertentu dapat menjadi strategi akuntansi yang tetap mematuhi peraturan pelaporan. Namun, menyam</w:t>
      </w:r>
      <w:r>
        <w:t>akan laba juga berisiko mengurangi kejelasan informasi keuangan secara keseluruhan, karena laba yang ditampilkan menjadi kurang representatif terhadap situasi ekonomi perusahaan yang sebenarnya [2].</w:t>
      </w:r>
    </w:p>
    <w:p w:rsidR="007F2C85" w:rsidRDefault="005538B5">
      <w:pPr>
        <w:spacing w:after="120"/>
        <w:ind w:firstLine="425"/>
        <w:jc w:val="both"/>
      </w:pPr>
      <w:r>
        <w:t>Fenomena ini menjadi lebih menarik ketika dihubungkan den</w:t>
      </w:r>
      <w:r>
        <w:t>gan keadaan makroekonomi di Indonesia. Menurut informasi dari situs CNBC Indonesia [4], Bursa Efek Indonesia dalam beberapa tahun belakangan, terutama sebelum dan setelah masa politik nasional 2024, pasar keuangan mengalami perubahan yang signifikan yang d</w:t>
      </w:r>
      <w:r>
        <w:t>isebabkan oleh peralihan kepemimpinan nasional.</w:t>
      </w:r>
    </w:p>
    <w:p w:rsidR="00370A63" w:rsidRDefault="00370A63">
      <w:pPr>
        <w:spacing w:after="120"/>
        <w:ind w:firstLine="425"/>
        <w:jc w:val="both"/>
      </w:pPr>
    </w:p>
    <w:p w:rsidR="00370A63" w:rsidRPr="00370A63" w:rsidRDefault="005538B5" w:rsidP="00370A63">
      <w:pPr>
        <w:spacing w:before="80" w:after="200"/>
        <w:jc w:val="center"/>
      </w:pPr>
      <w:r>
        <w:t>Figure 1. Grafik Indeks Harga Saham Gabungan (IHSG) 2021-2024</w:t>
      </w:r>
    </w:p>
    <w:p w:rsidR="00370A63" w:rsidRDefault="00370A63" w:rsidP="00370A63">
      <w:pPr>
        <w:widowControl w:val="0"/>
        <w:spacing w:line="276" w:lineRule="auto"/>
        <w:ind w:firstLine="709"/>
        <w:jc w:val="both"/>
        <w:rPr>
          <w:rFonts w:ascii="Bell MT" w:eastAsia="Bell MT" w:hAnsi="Bell MT" w:cs="Bell MT"/>
          <w:color w:val="000000"/>
          <w:sz w:val="24"/>
          <w:szCs w:val="24"/>
        </w:rPr>
      </w:pPr>
      <w:r>
        <w:rPr>
          <w:noProof/>
        </w:rPr>
        <w:drawing>
          <wp:anchor distT="0" distB="0" distL="114300" distR="114300" simplePos="0" relativeHeight="251659264" behindDoc="0" locked="0" layoutInCell="1" allowOverlap="1" wp14:anchorId="2F9D5344" wp14:editId="419026AE">
            <wp:simplePos x="0" y="0"/>
            <wp:positionH relativeFrom="column">
              <wp:posOffset>1195070</wp:posOffset>
            </wp:positionH>
            <wp:positionV relativeFrom="paragraph">
              <wp:posOffset>34290</wp:posOffset>
            </wp:positionV>
            <wp:extent cx="3619500" cy="1762125"/>
            <wp:effectExtent l="0" t="0" r="19050" b="952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Default="00370A63" w:rsidP="00370A63">
      <w:pPr>
        <w:widowControl w:val="0"/>
        <w:spacing w:line="276" w:lineRule="auto"/>
        <w:jc w:val="both"/>
        <w:rPr>
          <w:rFonts w:ascii="Bell MT" w:eastAsia="Bell MT" w:hAnsi="Bell MT" w:cs="Bell MT"/>
          <w:b/>
          <w:sz w:val="24"/>
          <w:szCs w:val="24"/>
        </w:rPr>
      </w:pPr>
    </w:p>
    <w:p w:rsidR="00370A63" w:rsidRPr="003F5CB1" w:rsidRDefault="00370A63" w:rsidP="00370A63">
      <w:pPr>
        <w:widowControl w:val="0"/>
        <w:spacing w:line="276" w:lineRule="auto"/>
        <w:ind w:left="1843"/>
        <w:jc w:val="both"/>
        <w:rPr>
          <w:rFonts w:ascii="Bell MT" w:eastAsia="Bell MT" w:hAnsi="Bell MT" w:cs="Bell MT"/>
          <w:b/>
          <w:sz w:val="24"/>
          <w:szCs w:val="24"/>
        </w:rPr>
      </w:pPr>
      <w:proofErr w:type="gramStart"/>
      <w:r w:rsidRPr="003F5CB1">
        <w:rPr>
          <w:rFonts w:ascii="Bell MT" w:hAnsi="Bell MT"/>
          <w:i/>
          <w:sz w:val="24"/>
          <w:szCs w:val="24"/>
        </w:rPr>
        <w:t>Sumber :</w:t>
      </w:r>
      <w:proofErr w:type="gramEnd"/>
      <w:r w:rsidRPr="003F5CB1">
        <w:rPr>
          <w:rFonts w:ascii="Bell MT" w:hAnsi="Bell MT"/>
          <w:i/>
          <w:sz w:val="24"/>
          <w:szCs w:val="24"/>
        </w:rPr>
        <w:t xml:space="preserve"> </w:t>
      </w:r>
      <w:hyperlink r:id="rId9" w:history="1">
        <w:r w:rsidRPr="003F5CB1">
          <w:rPr>
            <w:rStyle w:val="Hyperlink"/>
            <w:rFonts w:ascii="Bell MT" w:hAnsi="Bell MT"/>
            <w:i/>
            <w:sz w:val="24"/>
            <w:szCs w:val="24"/>
          </w:rPr>
          <w:t>www.cnbcindonesia.com</w:t>
        </w:r>
      </w:hyperlink>
    </w:p>
    <w:p w:rsidR="00370A63" w:rsidRDefault="00370A63">
      <w:pPr>
        <w:spacing w:before="80" w:after="200"/>
        <w:jc w:val="center"/>
      </w:pPr>
    </w:p>
    <w:p w:rsidR="007F2C85" w:rsidRDefault="005538B5">
      <w:pPr>
        <w:spacing w:after="120"/>
        <w:ind w:firstLine="425"/>
        <w:jc w:val="both"/>
      </w:pPr>
      <w:r>
        <w:t>Grafik di</w:t>
      </w:r>
      <w:r>
        <w:t xml:space="preserve"> atas menunjukkan perubahan naik turun dari Indeks Harga Saham Gabungan (IHSG) antara tahun 2021 hingga 2024. Pada tahun 2021, indeks saham ditutup pada angka Rp6.581</w:t>
      </w:r>
      <w:proofErr w:type="gramStart"/>
      <w:r>
        <w:t>,48</w:t>
      </w:r>
      <w:proofErr w:type="gramEnd"/>
      <w:r>
        <w:t>, meningkat sekitar 10,08% dibandingkan dengan tahun sebelumnya. Selanjutnya, penutupan</w:t>
      </w:r>
      <w:r>
        <w:t xml:space="preserve"> tahun 2022 terjadi pada angka Rp6.850</w:t>
      </w:r>
      <w:proofErr w:type="gramStart"/>
      <w:r>
        <w:t>,62</w:t>
      </w:r>
      <w:proofErr w:type="gramEnd"/>
      <w:r>
        <w:t>, hanya naik 4,09% dari tahun 2021. Tahun 2023 ditutup pada angka Rp7.272</w:t>
      </w:r>
      <w:proofErr w:type="gramStart"/>
      <w:r>
        <w:t>,79</w:t>
      </w:r>
      <w:proofErr w:type="gramEnd"/>
      <w:r>
        <w:t xml:space="preserve">, yang menunjukkan peningkatan signifikan sebesar 6,16% dibandingkan tahun 2022. Namun, pada akhir tahun 2024, Indeks Harga Saham Gabungan </w:t>
      </w:r>
      <w:r>
        <w:t>mengalami penurunan yang cukup mengkhawatirkan menjadi Rp7.069</w:t>
      </w:r>
      <w:proofErr w:type="gramStart"/>
      <w:r>
        <w:t>,04</w:t>
      </w:r>
      <w:proofErr w:type="gramEnd"/>
      <w:r>
        <w:t>, dengan perkiraan penurunan sekitar 2,65%.</w:t>
      </w:r>
    </w:p>
    <w:p w:rsidR="007F2C85" w:rsidRDefault="005538B5">
      <w:pPr>
        <w:spacing w:after="120"/>
        <w:ind w:firstLine="425"/>
        <w:jc w:val="both"/>
      </w:pPr>
      <w:r>
        <w:t>Penurunan yang ditunjukkan pada penghujung tahun 2024 ini diprediksi oleh guncangan dalam politik serta ketidakpastian yang ada dalam kebijakan ang</w:t>
      </w:r>
      <w:r>
        <w:t xml:space="preserve">garan. Hal ini </w:t>
      </w:r>
      <w:proofErr w:type="gramStart"/>
      <w:r>
        <w:t>akan</w:t>
      </w:r>
      <w:proofErr w:type="gramEnd"/>
      <w:r>
        <w:t xml:space="preserve"> memengaruhi rasa percaya para investor, yang pada gilirannya akan berimbas pada fluktuasi harga saham, termasuk juga pada indeks saham yang sesuai dengan prinsip syariah [5]. Hal ini sejalan dengan teori Ketidakpastian Kebijakan Ekonomi</w:t>
      </w:r>
      <w:r>
        <w:t xml:space="preserve"> (Economic Policy Uncertainty/EPU) yang menjelaskan bagaimana "guncangan ketidakpastian" membuat perusahaan menunda melakukan investasi [6]. Keadaan ini mendorong perusahaan untuk berusaha menjaga citra stabilitas kinerja, salah satunya dengan menerapkan p</w:t>
      </w:r>
      <w:r>
        <w:t xml:space="preserve">raktik perataan laba, agar tidak memicu ketakutan di pasar. Praktik perataan laba adalah strategi manajemen untuk mengurangi fluktuasi laba antarperiode, sehingga laba yang dilaporkan tampak lebih stabil. Praktik ini umumnya dilakukan untuk mempertahankan </w:t>
      </w:r>
      <w:r>
        <w:t>persepsi positif investor dan pemangku kepentingan mengenai kinerja perusahaan. Meski tidak selalu bersifat manipulatif, perataan laba berpotensi mengurangi kualitas laporan keuangan dan tingkat transparansi perusahaan [7].</w:t>
      </w:r>
    </w:p>
    <w:p w:rsidR="007F2C85" w:rsidRDefault="005538B5">
      <w:pPr>
        <w:spacing w:after="120"/>
        <w:ind w:firstLine="425"/>
        <w:jc w:val="both"/>
      </w:pPr>
      <w:r>
        <w:t>Salah satu bidang yang juga menu</w:t>
      </w:r>
      <w:r>
        <w:t xml:space="preserve">njukkan tanda-tanda praktik perataan laba adalah perusahaan di bidang makanan dan minuman. Beberapa faktor internal yang diduga memengaruhi praktik ini adalah </w:t>
      </w:r>
      <w:r>
        <w:rPr>
          <w:i/>
          <w:iCs/>
        </w:rPr>
        <w:t>operating profit margin</w:t>
      </w:r>
      <w:r>
        <w:t xml:space="preserve"> dan </w:t>
      </w:r>
      <w:r>
        <w:rPr>
          <w:i/>
          <w:iCs/>
        </w:rPr>
        <w:t>cash holding</w:t>
      </w:r>
      <w:r>
        <w:t xml:space="preserve"> [8], yang berperan penting dalam keputusan manajemen men</w:t>
      </w:r>
      <w:r>
        <w:t xml:space="preserve">genai pelaporan laba. </w:t>
      </w:r>
      <w:r>
        <w:rPr>
          <w:i/>
          <w:iCs/>
        </w:rPr>
        <w:t>Operating profit margin</w:t>
      </w:r>
      <w:r>
        <w:t xml:space="preserve"> adalah rasio keuangan yang digunakan untuk mengukur sejauh mana perusahaan dapat menghasilkan laba </w:t>
      </w:r>
      <w:r>
        <w:lastRenderedPageBreak/>
        <w:t xml:space="preserve">operasional dari setiap penjualan yang dilakukan dan mencerminkan seberapa efisien perusahaan beroperasi dalam </w:t>
      </w:r>
      <w:r>
        <w:t xml:space="preserve">menghasilkan laba dari kegiatan utamanya. Semakin tinggi margin operasional, semakin baik kemampuan perusahaan untuk menghadapi tekanan biaya dan penurunan dalam penjualan [9]. Sementara itu, </w:t>
      </w:r>
      <w:r>
        <w:rPr>
          <w:i/>
          <w:iCs/>
        </w:rPr>
        <w:t>cash holding</w:t>
      </w:r>
      <w:r>
        <w:t xml:space="preserve"> merupakan total uang tunai atau setara kas yang dim</w:t>
      </w:r>
      <w:r>
        <w:t>iliki oleh suatu perusahaan untuk memenuhi kewajiban jangka pendek atau kebutuhan likuiditas yang lain. Ini juga menunjukkan seberapa besar tingkat likuiditas suatu perusahaan. Semakin banyak kas yang tersedia, semakin mudah perusahaan dalam mengatur alira</w:t>
      </w:r>
      <w:r>
        <w:t>n kas dan menjaga kestabilan laba yang dilaporkan [7].</w:t>
      </w:r>
    </w:p>
    <w:p w:rsidR="007F2C85" w:rsidRDefault="005538B5">
      <w:pPr>
        <w:spacing w:after="120"/>
        <w:ind w:firstLine="425"/>
        <w:jc w:val="both"/>
      </w:pPr>
      <w:r>
        <w:t xml:space="preserve">Penelitian ini menggunakan pendekatan teori keagenan yang menjelaskan hubungan kerja </w:t>
      </w:r>
      <w:proofErr w:type="gramStart"/>
      <w:r>
        <w:t>sama</w:t>
      </w:r>
      <w:proofErr w:type="gramEnd"/>
      <w:r>
        <w:t xml:space="preserve"> antara </w:t>
      </w:r>
      <w:r>
        <w:rPr>
          <w:i/>
          <w:iCs/>
        </w:rPr>
        <w:t>principal</w:t>
      </w:r>
      <w:r>
        <w:t xml:space="preserve"> dan </w:t>
      </w:r>
      <w:r>
        <w:rPr>
          <w:i/>
          <w:iCs/>
        </w:rPr>
        <w:t>agent</w:t>
      </w:r>
      <w:r>
        <w:t xml:space="preserve">. Hubungan ini dibangun melalui kontrak, di mana </w:t>
      </w:r>
      <w:r>
        <w:rPr>
          <w:i/>
          <w:iCs/>
        </w:rPr>
        <w:t>agent</w:t>
      </w:r>
      <w:r>
        <w:t xml:space="preserve"> diberi mandat oleh </w:t>
      </w:r>
      <w:r>
        <w:rPr>
          <w:i/>
          <w:iCs/>
        </w:rPr>
        <w:t>principal</w:t>
      </w:r>
      <w:r>
        <w:t xml:space="preserve"> u</w:t>
      </w:r>
      <w:r>
        <w:t xml:space="preserve">ntuk melaksanakan kegiatan perusahaan [10]. Untuk meningkatkan nilai perusahaan, direktur memberikan fasilitas dan </w:t>
      </w:r>
      <w:proofErr w:type="gramStart"/>
      <w:r>
        <w:t>dana</w:t>
      </w:r>
      <w:proofErr w:type="gramEnd"/>
      <w:r>
        <w:t xml:space="preserve">, dan agen bertindak sebagai pengelola. Hubungan keagenan merupakan inti dari teori keagenan, yaitu relasi antara </w:t>
      </w:r>
      <w:r>
        <w:rPr>
          <w:i/>
          <w:iCs/>
        </w:rPr>
        <w:t>principal</w:t>
      </w:r>
      <w:r>
        <w:t xml:space="preserve"> dan </w:t>
      </w:r>
      <w:r>
        <w:rPr>
          <w:i/>
          <w:iCs/>
        </w:rPr>
        <w:t>agent</w:t>
      </w:r>
      <w:r>
        <w:t>. Da</w:t>
      </w:r>
      <w:r>
        <w:t xml:space="preserve">lam hubungan ini, agen menjalankan tugas atas </w:t>
      </w:r>
      <w:proofErr w:type="gramStart"/>
      <w:r>
        <w:t>nama</w:t>
      </w:r>
      <w:proofErr w:type="gramEnd"/>
      <w:r>
        <w:t xml:space="preserve"> </w:t>
      </w:r>
      <w:r>
        <w:rPr>
          <w:i/>
          <w:iCs/>
        </w:rPr>
        <w:t>principal</w:t>
      </w:r>
      <w:r>
        <w:t xml:space="preserve"> dan untuk kepentingan </w:t>
      </w:r>
      <w:r>
        <w:rPr>
          <w:i/>
          <w:iCs/>
        </w:rPr>
        <w:t>principal</w:t>
      </w:r>
      <w:r>
        <w:t xml:space="preserve">, dan sebagai balasannya, agen memperoleh imbalan [11]. Dalam pelaporan keuangan, hubungan investor dan manajemen membentuk suatu hubungan keagenan di mana pemegang saham berperan sebagai </w:t>
      </w:r>
      <w:r>
        <w:rPr>
          <w:i/>
          <w:iCs/>
        </w:rPr>
        <w:t>principal</w:t>
      </w:r>
      <w:r>
        <w:t xml:space="preserve"> sementara manajemen bertindak sebagai agen. Teori keagenan</w:t>
      </w:r>
      <w:r>
        <w:t xml:space="preserve"> menjelaskan adanya potensi konflik kepentingan antara pemilik perusahaan dengan pengelolanya. Konflik ini muncul akibat ketidakselarasan tujuan antara </w:t>
      </w:r>
      <w:r>
        <w:rPr>
          <w:i/>
          <w:iCs/>
        </w:rPr>
        <w:t>principal</w:t>
      </w:r>
      <w:r>
        <w:t xml:space="preserve"> dan agen. Konflik keagenan muncul ketika </w:t>
      </w:r>
      <w:r>
        <w:rPr>
          <w:i/>
          <w:iCs/>
        </w:rPr>
        <w:t>principal</w:t>
      </w:r>
      <w:r>
        <w:t xml:space="preserve"> mendelegasikan wewenang pengelolaan perusah</w:t>
      </w:r>
      <w:r>
        <w:t>aan kepada agen. Pemberian otoritas ini berpotensi memicu manipulasi laporan keuangan, di mana agen dapat menyalahgunakan kewenangannya. Situasi ini diperparah oleh adanya asimetri informasi, suatu kondisi di mana agen memiliki pengetahuan lebih mendalam m</w:t>
      </w:r>
      <w:r>
        <w:t xml:space="preserve">engenai kondisi internal perusahaan dibandingkan </w:t>
      </w:r>
      <w:r>
        <w:rPr>
          <w:i/>
          <w:iCs/>
        </w:rPr>
        <w:t>principal</w:t>
      </w:r>
      <w:r>
        <w:t xml:space="preserve">. Jika terdapat asimetri informasi, </w:t>
      </w:r>
      <w:r>
        <w:rPr>
          <w:i/>
          <w:iCs/>
        </w:rPr>
        <w:t>principal</w:t>
      </w:r>
      <w:r>
        <w:t xml:space="preserve"> mungkin kesulitan menilai kinerja agen.</w:t>
      </w:r>
    </w:p>
    <w:p w:rsidR="007F2C85" w:rsidRDefault="005538B5">
      <w:pPr>
        <w:spacing w:after="120"/>
        <w:ind w:firstLine="425"/>
        <w:jc w:val="both"/>
      </w:pPr>
      <w:r>
        <w:t>Selain itu, beberapa penelitian praktis memberikan bukti tentang keterkaitan antara margin laba operasional, pen</w:t>
      </w:r>
      <w:r>
        <w:t>yimpanan kas, dan praktik pengaturan laba. Penelitian yang dilakukan oleh Muhammad Muslih mengungkapkan bahwa margin laba operasional, rencana bonus, dan pajak penghasilan tidak memberikan dampak yang berarti terhadap praktik pengaturan laba. Di sisi lain,</w:t>
      </w:r>
      <w:r>
        <w:t xml:space="preserve"> penyimpanan kas terbukti memiliki pengaruh positif dan signifikan terhadap pengaturan laba pada perusahaan makanan dan minuman yang terdaftar di Bursa Efek Indonesia [7]. Namun, penelitian yang dilakukan oleh Rahma Sari dan Deni Darmawati memperlihatkan h</w:t>
      </w:r>
      <w:r>
        <w:t>asil yang berbeda, yakni bahwa penyimpanan kas tidak berpengaruh pada praktik penyesuaian laba [12]. Perbedaan hasil dari kedua studi tersebut menunjukkan bahwa pengaruh penyimpanan kas terhadap pengaturan laba masih perlu diteliti lebih lanjut, karena bis</w:t>
      </w:r>
      <w:r>
        <w:t>a jadi dipengaruhi oleh perbedaan karakteristik sampel, waktu penelitian, atau variabel yang digunakan.</w:t>
      </w:r>
    </w:p>
    <w:p w:rsidR="007F2C85" w:rsidRDefault="005538B5">
      <w:pPr>
        <w:spacing w:after="120"/>
        <w:ind w:firstLine="425"/>
        <w:jc w:val="both"/>
      </w:pPr>
      <w:r>
        <w:t xml:space="preserve">Berdasarkan fenomena ini, peneliti ingin melakukan studi mengenai pengaruh dari </w:t>
      </w:r>
      <w:r>
        <w:rPr>
          <w:i/>
          <w:iCs/>
        </w:rPr>
        <w:t>operating profit margin</w:t>
      </w:r>
      <w:r>
        <w:t xml:space="preserve"> dan </w:t>
      </w:r>
      <w:r>
        <w:rPr>
          <w:i/>
          <w:iCs/>
        </w:rPr>
        <w:t>cash holding</w:t>
      </w:r>
      <w:r>
        <w:t xml:space="preserve"> terhadap perataan laba di perus</w:t>
      </w:r>
      <w:r>
        <w:t xml:space="preserve">ahaan manufaktur yang terdaftar di Indeks Saham Syariah Indonesia (ISSI). Penelitian ini diharapkan dapat memberikan wawasan empiris tentang </w:t>
      </w:r>
      <w:proofErr w:type="gramStart"/>
      <w:r>
        <w:t>cara</w:t>
      </w:r>
      <w:proofErr w:type="gramEnd"/>
      <w:r>
        <w:t xml:space="preserve"> perusahaan syariah menjaga kestabilan laporan keuangan mereka dalam situasi ekonomi dan politik yang tidak men</w:t>
      </w:r>
      <w:r>
        <w:t xml:space="preserve">entu di Indonesia. Meskipun banyak penelitian tentang perataan laba telah dilakukan, penggunaan variabel </w:t>
      </w:r>
      <w:r>
        <w:rPr>
          <w:i/>
          <w:iCs/>
        </w:rPr>
        <w:t>operating profit margin</w:t>
      </w:r>
      <w:r>
        <w:t xml:space="preserve"> dan </w:t>
      </w:r>
      <w:r>
        <w:rPr>
          <w:i/>
          <w:iCs/>
        </w:rPr>
        <w:t>cash holding</w:t>
      </w:r>
      <w:r>
        <w:t xml:space="preserve"> masih cukup jarang, dan hasil penelitian sebelumnya seringkali tidak konsisten. Keadaan ini mendorong perlunya</w:t>
      </w:r>
      <w:r>
        <w:t xml:space="preserve"> pengujian ulang untuk memahami bagaimana faktor-faktor tersebut memengaruhi perataan laba, baik secara bersamaan maupun terpisah.</w:t>
      </w:r>
    </w:p>
    <w:p w:rsidR="007F2C85" w:rsidRDefault="005538B5">
      <w:pPr>
        <w:spacing w:before="160" w:after="100"/>
      </w:pPr>
      <w:r>
        <w:rPr>
          <w:b/>
          <w:bCs/>
          <w:i/>
          <w:iCs/>
        </w:rPr>
        <w:t>Kerangka Pemikiran Penelitian</w:t>
      </w:r>
    </w:p>
    <w:p w:rsidR="007F2C85" w:rsidRDefault="005538B5">
      <w:pPr>
        <w:spacing w:after="120"/>
        <w:ind w:firstLine="425"/>
        <w:jc w:val="both"/>
      </w:pPr>
      <w:r>
        <w:t>Penelitian ini hanya menggunakan dua jenis variabel, yaitu variabel independen atau variabel be</w:t>
      </w:r>
      <w:r>
        <w:t xml:space="preserve">bas (X), yang terdiri dari </w:t>
      </w:r>
      <w:r>
        <w:rPr>
          <w:i/>
          <w:iCs/>
        </w:rPr>
        <w:t>operating profit margin</w:t>
      </w:r>
      <w:r>
        <w:t xml:space="preserve"> (X1) dan </w:t>
      </w:r>
      <w:r>
        <w:rPr>
          <w:i/>
          <w:iCs/>
        </w:rPr>
        <w:t>cash holding</w:t>
      </w:r>
      <w:r>
        <w:t xml:space="preserve"> (X2), serta variabel dependen atau variabel terikat (Y), yaitu perataan laba. Selanjutnya, variabel terikat </w:t>
      </w:r>
      <w:proofErr w:type="gramStart"/>
      <w:r>
        <w:t>akan</w:t>
      </w:r>
      <w:proofErr w:type="gramEnd"/>
      <w:r>
        <w:t xml:space="preserve"> dipengaruhi oleh variabel bebas.</w:t>
      </w:r>
    </w:p>
    <w:p w:rsidR="007F2C85" w:rsidRDefault="005538B5" w:rsidP="00370A63">
      <w:r>
        <w:rPr>
          <w:noProof/>
        </w:rPr>
        <w:drawing>
          <wp:anchor distT="0" distB="0" distL="114300" distR="114300" simplePos="0" relativeHeight="251660288" behindDoc="0" locked="0" layoutInCell="1" allowOverlap="1" wp14:anchorId="26456D97" wp14:editId="5089F9FE">
            <wp:simplePos x="1965716" y="7505904"/>
            <wp:positionH relativeFrom="column">
              <wp:posOffset>1966415</wp:posOffset>
            </wp:positionH>
            <wp:positionV relativeFrom="paragraph">
              <wp:align>top</wp:align>
            </wp:positionV>
            <wp:extent cx="3810000" cy="1876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876425"/>
                    </a:xfrm>
                    <a:prstGeom prst="rect">
                      <a:avLst/>
                    </a:prstGeom>
                  </pic:spPr>
                </pic:pic>
              </a:graphicData>
            </a:graphic>
          </wp:anchor>
        </w:drawing>
      </w:r>
      <w:r w:rsidR="00370A63">
        <w:br w:type="textWrapping" w:clear="all"/>
      </w:r>
    </w:p>
    <w:p w:rsidR="007F2C85" w:rsidRDefault="005538B5">
      <w:pPr>
        <w:spacing w:before="80" w:after="200"/>
        <w:jc w:val="center"/>
      </w:pPr>
      <w:r>
        <w:t>Figure 2. Kerangka Pemikiran Peneli</w:t>
      </w:r>
      <w:r>
        <w:t>tian</w:t>
      </w:r>
    </w:p>
    <w:p w:rsidR="00370A63" w:rsidRDefault="00370A63">
      <w:pPr>
        <w:spacing w:after="40"/>
      </w:pPr>
    </w:p>
    <w:p w:rsidR="007F2C85" w:rsidRDefault="005538B5">
      <w:pPr>
        <w:spacing w:after="40"/>
      </w:pPr>
      <w:r>
        <w:t>Keterangan:</w:t>
      </w:r>
    </w:p>
    <w:p w:rsidR="007F2C85" w:rsidRDefault="005538B5">
      <w:pPr>
        <w:spacing w:after="20"/>
      </w:pPr>
      <w:r>
        <w:t>X1 = Operating profit margin</w:t>
      </w:r>
    </w:p>
    <w:p w:rsidR="007F2C85" w:rsidRDefault="005538B5">
      <w:pPr>
        <w:spacing w:after="20"/>
      </w:pPr>
      <w:r>
        <w:t>X2 = Cash Holding</w:t>
      </w:r>
    </w:p>
    <w:p w:rsidR="007F2C85" w:rsidRDefault="005538B5">
      <w:pPr>
        <w:spacing w:after="20"/>
      </w:pPr>
      <w:r>
        <w:t>Y = Perataan Laba</w:t>
      </w:r>
    </w:p>
    <w:p w:rsidR="007F2C85" w:rsidRDefault="005538B5">
      <w:pPr>
        <w:spacing w:after="20"/>
      </w:pPr>
      <w:r>
        <w:t>H1 &amp; H2 = Hipotesis secara parsial</w:t>
      </w:r>
    </w:p>
    <w:p w:rsidR="007F2C85" w:rsidRDefault="005538B5">
      <w:pPr>
        <w:spacing w:after="200"/>
      </w:pPr>
      <w:r>
        <w:t>H3 = Hipotesis secara simultan</w:t>
      </w:r>
    </w:p>
    <w:p w:rsidR="007F2C85" w:rsidRDefault="005538B5">
      <w:pPr>
        <w:spacing w:before="240" w:after="120"/>
      </w:pPr>
      <w:r>
        <w:rPr>
          <w:b/>
          <w:bCs/>
        </w:rPr>
        <w:t>2. METODE PENELITIAN</w:t>
      </w:r>
    </w:p>
    <w:p w:rsidR="007F2C85" w:rsidRDefault="005538B5">
      <w:pPr>
        <w:spacing w:after="120"/>
        <w:ind w:firstLine="425"/>
        <w:jc w:val="both"/>
      </w:pPr>
      <w:r>
        <w:t>Penelitian yang dilakukan menggunakan metode kuantitatif, yang didasarkan pada filsafat</w:t>
      </w:r>
      <w:r>
        <w:t xml:space="preserve"> positivisme. Metode ini digunakan untuk meneliti populasi atau sampel tertentu, dengan pengambilan sampel secara acak melalui penggunaan instrumen dan analisis data yang bersifat statistik, untuk melihat bagaimana variabel bebas (X), yaitu </w:t>
      </w:r>
      <w:r>
        <w:rPr>
          <w:i/>
          <w:iCs/>
        </w:rPr>
        <w:t>operating profi</w:t>
      </w:r>
      <w:r>
        <w:rPr>
          <w:i/>
          <w:iCs/>
        </w:rPr>
        <w:t>t margin</w:t>
      </w:r>
      <w:r>
        <w:t xml:space="preserve"> dan </w:t>
      </w:r>
      <w:r>
        <w:rPr>
          <w:i/>
          <w:iCs/>
        </w:rPr>
        <w:t>cash holding</w:t>
      </w:r>
      <w:r>
        <w:t>, berdampak pada variabel terikat (Y), yaitu perataan laba [13]. Pendekatan kuantitatif ini digunakan oleh peneliti agar data yang diperoleh dapat diolah secara statistik untuk melihat kekuatan dan arah hubungan antarvariabel.</w:t>
      </w:r>
    </w:p>
    <w:p w:rsidR="007F2C85" w:rsidRDefault="005538B5">
      <w:pPr>
        <w:spacing w:after="120"/>
        <w:ind w:firstLine="425"/>
        <w:jc w:val="both"/>
      </w:pPr>
      <w:r>
        <w:t>Peneliti melakukan penelitian ini dari tahun 2021 hingga 2024 dan memilih perusahaan manufaktur dalam subsektor makanan dan minuman yang terdaftar pada Indeks Saham Syariah Indonesia (ISSI). Seluruh informasi dapat diakses melalui situs web https://idxisla</w:t>
      </w:r>
      <w:r>
        <w:t>mic.idx.co.id dan www.ojk.go.id. Populasi penelitian ini melibatkan sekitar 60 perusahaan manufaktur yang terdaftar di ISSI dari tahun 2021 hingga 2024 dalam subsektor makanan dan minuman.</w:t>
      </w:r>
    </w:p>
    <w:p w:rsidR="007F2C85" w:rsidRDefault="005538B5">
      <w:pPr>
        <w:spacing w:after="120"/>
        <w:ind w:firstLine="425"/>
        <w:jc w:val="both"/>
      </w:pPr>
      <w:r>
        <w:t xml:space="preserve">Sampel pada penelitian ini ditentukan menggunakan teknik </w:t>
      </w:r>
      <w:r>
        <w:rPr>
          <w:i/>
          <w:iCs/>
        </w:rPr>
        <w:t xml:space="preserve">purposive </w:t>
      </w:r>
      <w:r>
        <w:rPr>
          <w:i/>
          <w:iCs/>
        </w:rPr>
        <w:t>sampling</w:t>
      </w:r>
      <w:r>
        <w:t xml:space="preserve"> dengan kriteria yang disesuaikan dengan data yang ingin diperoleh peneliti, yaitu data laporan keuangan perusahaan manufaktur subsektor makanan dan minuman tahun 2021-2024 yang menerbitkan laporan keuangan dalam mata uang rupiah. Hasil dari pemili</w:t>
      </w:r>
      <w:r>
        <w:t>han kriteria ini diperoleh sebanyak 17 perusahaan yang dapat dijadikan sampel.</w:t>
      </w:r>
    </w:p>
    <w:p w:rsidR="007F2C85" w:rsidRDefault="005538B5">
      <w:pPr>
        <w:spacing w:after="120"/>
        <w:ind w:firstLine="425"/>
        <w:jc w:val="both"/>
      </w:pPr>
      <w:r>
        <w:t xml:space="preserve">Analisis data yang digunakan dalam penelitian ini adalah analisis statistik deskriptif dan analisis regresi logistik dengan bantuan </w:t>
      </w:r>
      <w:r>
        <w:rPr>
          <w:i/>
          <w:iCs/>
        </w:rPr>
        <w:t>software Eviews13</w:t>
      </w:r>
      <w:r>
        <w:t>. Karena perataan laba merup</w:t>
      </w:r>
      <w:r>
        <w:t xml:space="preserve">akan variabel </w:t>
      </w:r>
      <w:r>
        <w:rPr>
          <w:i/>
          <w:iCs/>
        </w:rPr>
        <w:t>dummy</w:t>
      </w:r>
      <w:r>
        <w:t xml:space="preserve"> pada variabel terikat, regresi logistik digunakan untuk menentukan apakah probabilitas terjadinya variabel terikat dapat diprediksi dengan variabel bebasnya. Teknik analisis logistik tidak memerlukan asumsi normalitas pada variabel beba</w:t>
      </w:r>
      <w:r>
        <w:t xml:space="preserve">snya dan mengabaikan heteroskedastisitas [14]. Dalam penelitian ini, beberapa pengujian dilakukan, antara lain uji kelayakan model, uji model keseluruhan, uji </w:t>
      </w:r>
      <w:r>
        <w:rPr>
          <w:i/>
          <w:iCs/>
        </w:rPr>
        <w:t>Wald</w:t>
      </w:r>
      <w:r>
        <w:t xml:space="preserve">, uji koefisien </w:t>
      </w:r>
      <w:r>
        <w:rPr>
          <w:i/>
          <w:iCs/>
        </w:rPr>
        <w:t>McFadden R-square</w:t>
      </w:r>
      <w:r>
        <w:t>, uji akurasi model, dan uji interpretasi koefisien parameter.</w:t>
      </w:r>
    </w:p>
    <w:p w:rsidR="007F2C85" w:rsidRDefault="005538B5">
      <w:pPr>
        <w:spacing w:before="240" w:after="120"/>
      </w:pPr>
      <w:r>
        <w:rPr>
          <w:b/>
          <w:bCs/>
        </w:rPr>
        <w:t>3. HASIL DAN PEMBAHASAN</w:t>
      </w:r>
    </w:p>
    <w:p w:rsidR="007F2C85" w:rsidRDefault="005538B5">
      <w:pPr>
        <w:spacing w:before="200" w:after="120"/>
      </w:pPr>
      <w:r>
        <w:rPr>
          <w:b/>
          <w:bCs/>
        </w:rPr>
        <w:t>3.1. Hasil Penelitian</w:t>
      </w:r>
    </w:p>
    <w:p w:rsidR="007F2C85" w:rsidRDefault="005538B5">
      <w:pPr>
        <w:spacing w:before="160" w:after="100"/>
      </w:pPr>
      <w:r>
        <w:rPr>
          <w:b/>
          <w:bCs/>
          <w:i/>
          <w:iCs/>
        </w:rPr>
        <w:t>Analisis Statistik Deskriptif</w:t>
      </w:r>
    </w:p>
    <w:p w:rsidR="007F2C85" w:rsidRDefault="005538B5">
      <w:pPr>
        <w:spacing w:before="80" w:after="200"/>
        <w:jc w:val="center"/>
      </w:pPr>
      <w:r>
        <w:t>Table 1. Statistik Deskriptif Variabel Penelitian</w:t>
      </w:r>
    </w:p>
    <w:tbl>
      <w:tblPr>
        <w:tblW w:w="9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000"/>
      </w:tblGrid>
      <w:tr w:rsidR="007F2C85">
        <w:tblPrEx>
          <w:tblCellMar>
            <w:top w:w="0" w:type="dxa"/>
            <w:bottom w:w="0" w:type="dxa"/>
          </w:tblCellMar>
        </w:tblPrEx>
        <w:trPr>
          <w:tblHeader/>
        </w:trPr>
        <w:tc>
          <w:tcPr>
            <w:tcW w:w="3000" w:type="dxa"/>
            <w:shd w:val="clear" w:color="auto" w:fill="D9D9D9"/>
            <w:vAlign w:val="center"/>
          </w:tcPr>
          <w:p w:rsidR="007F2C85" w:rsidRDefault="005538B5">
            <w:pPr>
              <w:jc w:val="center"/>
            </w:pPr>
            <w:r>
              <w:rPr>
                <w:b/>
                <w:bCs/>
                <w:sz w:val="18"/>
                <w:szCs w:val="18"/>
              </w:rPr>
              <w:t>Variabel</w:t>
            </w:r>
          </w:p>
        </w:tc>
        <w:tc>
          <w:tcPr>
            <w:tcW w:w="2000" w:type="dxa"/>
            <w:shd w:val="clear" w:color="auto" w:fill="D9D9D9"/>
            <w:vAlign w:val="center"/>
          </w:tcPr>
          <w:p w:rsidR="007F2C85" w:rsidRDefault="005538B5">
            <w:pPr>
              <w:jc w:val="center"/>
            </w:pPr>
            <w:r>
              <w:rPr>
                <w:b/>
                <w:bCs/>
                <w:sz w:val="18"/>
                <w:szCs w:val="18"/>
              </w:rPr>
              <w:t>Rata-rata</w:t>
            </w:r>
          </w:p>
        </w:tc>
        <w:tc>
          <w:tcPr>
            <w:tcW w:w="2000" w:type="dxa"/>
            <w:shd w:val="clear" w:color="auto" w:fill="D9D9D9"/>
            <w:vAlign w:val="center"/>
          </w:tcPr>
          <w:p w:rsidR="007F2C85" w:rsidRDefault="005538B5">
            <w:pPr>
              <w:jc w:val="center"/>
            </w:pPr>
            <w:r>
              <w:rPr>
                <w:b/>
                <w:bCs/>
                <w:sz w:val="18"/>
                <w:szCs w:val="18"/>
              </w:rPr>
              <w:t>Maksimal</w:t>
            </w:r>
          </w:p>
        </w:tc>
        <w:tc>
          <w:tcPr>
            <w:tcW w:w="2000" w:type="dxa"/>
            <w:shd w:val="clear" w:color="auto" w:fill="D9D9D9"/>
            <w:vAlign w:val="center"/>
          </w:tcPr>
          <w:p w:rsidR="007F2C85" w:rsidRDefault="005538B5">
            <w:pPr>
              <w:jc w:val="center"/>
            </w:pPr>
            <w:r>
              <w:rPr>
                <w:b/>
                <w:bCs/>
                <w:sz w:val="18"/>
                <w:szCs w:val="18"/>
              </w:rPr>
              <w:t>Minimal</w:t>
            </w:r>
          </w:p>
        </w:tc>
      </w:tr>
      <w:tr w:rsidR="007F2C85">
        <w:tblPrEx>
          <w:tblCellMar>
            <w:top w:w="0" w:type="dxa"/>
            <w:bottom w:w="0" w:type="dxa"/>
          </w:tblCellMar>
        </w:tblPrEx>
        <w:tc>
          <w:tcPr>
            <w:tcW w:w="3000" w:type="dxa"/>
            <w:vAlign w:val="center"/>
          </w:tcPr>
          <w:p w:rsidR="007F2C85" w:rsidRDefault="005538B5">
            <w:r>
              <w:rPr>
                <w:sz w:val="18"/>
                <w:szCs w:val="18"/>
              </w:rPr>
              <w:t>Operating profit margin</w:t>
            </w:r>
          </w:p>
        </w:tc>
        <w:tc>
          <w:tcPr>
            <w:tcW w:w="2000" w:type="dxa"/>
            <w:vAlign w:val="center"/>
          </w:tcPr>
          <w:p w:rsidR="007F2C85" w:rsidRDefault="005538B5">
            <w:pPr>
              <w:jc w:val="center"/>
            </w:pPr>
            <w:r>
              <w:rPr>
                <w:sz w:val="18"/>
                <w:szCs w:val="18"/>
              </w:rPr>
              <w:t>0.116027</w:t>
            </w:r>
          </w:p>
        </w:tc>
        <w:tc>
          <w:tcPr>
            <w:tcW w:w="2000" w:type="dxa"/>
            <w:vAlign w:val="center"/>
          </w:tcPr>
          <w:p w:rsidR="007F2C85" w:rsidRDefault="005538B5">
            <w:pPr>
              <w:jc w:val="center"/>
            </w:pPr>
            <w:r>
              <w:rPr>
                <w:sz w:val="18"/>
                <w:szCs w:val="18"/>
              </w:rPr>
              <w:t>0.244678</w:t>
            </w:r>
          </w:p>
        </w:tc>
        <w:tc>
          <w:tcPr>
            <w:tcW w:w="2000" w:type="dxa"/>
            <w:vAlign w:val="center"/>
          </w:tcPr>
          <w:p w:rsidR="007F2C85" w:rsidRDefault="005538B5">
            <w:pPr>
              <w:jc w:val="center"/>
            </w:pPr>
            <w:r>
              <w:rPr>
                <w:sz w:val="18"/>
                <w:szCs w:val="18"/>
              </w:rPr>
              <w:t>0.029156</w:t>
            </w:r>
          </w:p>
        </w:tc>
      </w:tr>
      <w:tr w:rsidR="007F2C85">
        <w:tblPrEx>
          <w:tblCellMar>
            <w:top w:w="0" w:type="dxa"/>
            <w:bottom w:w="0" w:type="dxa"/>
          </w:tblCellMar>
        </w:tblPrEx>
        <w:tc>
          <w:tcPr>
            <w:tcW w:w="3000" w:type="dxa"/>
            <w:vAlign w:val="center"/>
          </w:tcPr>
          <w:p w:rsidR="007F2C85" w:rsidRDefault="005538B5">
            <w:r>
              <w:rPr>
                <w:sz w:val="18"/>
                <w:szCs w:val="18"/>
              </w:rPr>
              <w:t>Cash holding</w:t>
            </w:r>
          </w:p>
        </w:tc>
        <w:tc>
          <w:tcPr>
            <w:tcW w:w="2000" w:type="dxa"/>
            <w:vAlign w:val="center"/>
          </w:tcPr>
          <w:p w:rsidR="007F2C85" w:rsidRDefault="005538B5">
            <w:pPr>
              <w:jc w:val="center"/>
            </w:pPr>
            <w:r>
              <w:rPr>
                <w:sz w:val="18"/>
                <w:szCs w:val="18"/>
              </w:rPr>
              <w:t>0.134932</w:t>
            </w:r>
          </w:p>
        </w:tc>
        <w:tc>
          <w:tcPr>
            <w:tcW w:w="2000" w:type="dxa"/>
            <w:vAlign w:val="center"/>
          </w:tcPr>
          <w:p w:rsidR="007F2C85" w:rsidRDefault="005538B5">
            <w:pPr>
              <w:jc w:val="center"/>
            </w:pPr>
            <w:r>
              <w:rPr>
                <w:sz w:val="18"/>
                <w:szCs w:val="18"/>
              </w:rPr>
              <w:t>0.532125</w:t>
            </w:r>
          </w:p>
        </w:tc>
        <w:tc>
          <w:tcPr>
            <w:tcW w:w="2000" w:type="dxa"/>
            <w:vAlign w:val="center"/>
          </w:tcPr>
          <w:p w:rsidR="007F2C85" w:rsidRDefault="005538B5">
            <w:pPr>
              <w:jc w:val="center"/>
            </w:pPr>
            <w:r>
              <w:rPr>
                <w:sz w:val="18"/>
                <w:szCs w:val="18"/>
              </w:rPr>
              <w:t>0.003531</w:t>
            </w:r>
          </w:p>
        </w:tc>
      </w:tr>
      <w:tr w:rsidR="007F2C85">
        <w:tblPrEx>
          <w:tblCellMar>
            <w:top w:w="0" w:type="dxa"/>
            <w:bottom w:w="0" w:type="dxa"/>
          </w:tblCellMar>
        </w:tblPrEx>
        <w:tc>
          <w:tcPr>
            <w:tcW w:w="3000" w:type="dxa"/>
            <w:vAlign w:val="center"/>
          </w:tcPr>
          <w:p w:rsidR="007F2C85" w:rsidRDefault="005538B5">
            <w:r>
              <w:rPr>
                <w:sz w:val="18"/>
                <w:szCs w:val="18"/>
              </w:rPr>
              <w:t>Perataan laba</w:t>
            </w:r>
          </w:p>
        </w:tc>
        <w:tc>
          <w:tcPr>
            <w:tcW w:w="2000" w:type="dxa"/>
            <w:vAlign w:val="center"/>
          </w:tcPr>
          <w:p w:rsidR="007F2C85" w:rsidRDefault="005538B5">
            <w:pPr>
              <w:jc w:val="center"/>
            </w:pPr>
            <w:r>
              <w:rPr>
                <w:sz w:val="18"/>
                <w:szCs w:val="18"/>
              </w:rPr>
              <w:t>0.352941</w:t>
            </w:r>
          </w:p>
        </w:tc>
        <w:tc>
          <w:tcPr>
            <w:tcW w:w="2000" w:type="dxa"/>
            <w:vAlign w:val="center"/>
          </w:tcPr>
          <w:p w:rsidR="007F2C85" w:rsidRDefault="005538B5">
            <w:pPr>
              <w:jc w:val="center"/>
            </w:pPr>
            <w:r>
              <w:rPr>
                <w:sz w:val="18"/>
                <w:szCs w:val="18"/>
              </w:rPr>
              <w:t>1.000000</w:t>
            </w:r>
          </w:p>
        </w:tc>
        <w:tc>
          <w:tcPr>
            <w:tcW w:w="2000" w:type="dxa"/>
            <w:vAlign w:val="center"/>
          </w:tcPr>
          <w:p w:rsidR="007F2C85" w:rsidRDefault="005538B5">
            <w:pPr>
              <w:jc w:val="center"/>
            </w:pPr>
            <w:r>
              <w:rPr>
                <w:sz w:val="18"/>
                <w:szCs w:val="18"/>
              </w:rPr>
              <w:t>0.000000</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Hasil uji analisis statistik deskriptif pada Tabel 1 menjelaskan bahwa </w:t>
      </w:r>
      <w:r>
        <w:rPr>
          <w:i/>
          <w:iCs/>
        </w:rPr>
        <w:t>operating profit margin</w:t>
      </w:r>
      <w:r>
        <w:t xml:space="preserve"> (X1) memiliki nilai rata-rata (</w:t>
      </w:r>
      <w:r>
        <w:rPr>
          <w:i/>
          <w:iCs/>
        </w:rPr>
        <w:t>mean</w:t>
      </w:r>
      <w:r>
        <w:t xml:space="preserve">) sebesar 0,116027 yang menunjukkan bahwa rata-rata perusahaan dalam sampel mampu menghasilkan laba operasi sebesar 11,60% dari total penjualannya. Nilai minimum </w:t>
      </w:r>
      <w:r>
        <w:rPr>
          <w:i/>
          <w:iCs/>
        </w:rPr>
        <w:t>operating profit margin</w:t>
      </w:r>
      <w:r>
        <w:t xml:space="preserve"> sebesar 0,029156 menunjukkan bahwa</w:t>
      </w:r>
      <w:r>
        <w:t xml:space="preserve"> perusahaan tersebut mengalami tingkat profitabilitas yang relatif rendah, yaitu hanya berkisar 2</w:t>
      </w:r>
      <w:proofErr w:type="gramStart"/>
      <w:r>
        <w:t>,91</w:t>
      </w:r>
      <w:proofErr w:type="gramEnd"/>
      <w:r>
        <w:t>%. Sementara itu, nilai maksimum sebesar 0,244678 menunjukkan bahwa perusahaan mampu menghasilkan laba operasi hingga 24</w:t>
      </w:r>
      <w:proofErr w:type="gramStart"/>
      <w:r>
        <w:t>,46</w:t>
      </w:r>
      <w:proofErr w:type="gramEnd"/>
      <w:r>
        <w:t>%. Selain itu, diketahui bahwa va</w:t>
      </w:r>
      <w:r>
        <w:t xml:space="preserve">riabel </w:t>
      </w:r>
      <w:r>
        <w:rPr>
          <w:i/>
          <w:iCs/>
        </w:rPr>
        <w:t>cash holding</w:t>
      </w:r>
      <w:r>
        <w:t xml:space="preserve"> (X2) memiliki nilai rata-rata sebesar 0,134932, yang menunjukkan bahwa perusahaan menyimpan kas rata-rata sebesar 13,49% dari seluruh asetnya, dengan nilai minimum sebesar 0,003531 yang menunjukkan tingkat kas yang sangat rendah, namun </w:t>
      </w:r>
      <w:r>
        <w:t xml:space="preserve">nilai maksimum sebesar 0,532125 menunjukkan bahwa perusahaan menyimpan uang sebesar 53,21% dari total asetnya. Untuk menghitung variabel perataan laba, variabel </w:t>
      </w:r>
      <w:r>
        <w:rPr>
          <w:i/>
          <w:iCs/>
        </w:rPr>
        <w:t>dummy</w:t>
      </w:r>
      <w:r>
        <w:t xml:space="preserve"> diberi nilai 1 untuk perusahaan yang melakukan perataan laba dan 0 untuk perusahaan yang </w:t>
      </w:r>
      <w:r>
        <w:t>tidak melakukannya. Nilai rata-rata 0,352941 menunjukkan bahwa sekitar 35</w:t>
      </w:r>
      <w:proofErr w:type="gramStart"/>
      <w:r>
        <w:t>,29</w:t>
      </w:r>
      <w:proofErr w:type="gramEnd"/>
      <w:r>
        <w:t>% perusahaan dalam sampel melakukan praktik perataan laba, sedangkan sisanya tidak.</w:t>
      </w:r>
    </w:p>
    <w:p w:rsidR="00370A63" w:rsidRDefault="00370A63">
      <w:pPr>
        <w:spacing w:before="160" w:after="100"/>
        <w:rPr>
          <w:b/>
          <w:bCs/>
          <w:i/>
          <w:iCs/>
        </w:rPr>
      </w:pPr>
    </w:p>
    <w:p w:rsidR="007F2C85" w:rsidRDefault="005538B5">
      <w:pPr>
        <w:spacing w:before="160" w:after="100"/>
      </w:pPr>
      <w:r>
        <w:rPr>
          <w:b/>
          <w:bCs/>
          <w:i/>
          <w:iCs/>
        </w:rPr>
        <w:lastRenderedPageBreak/>
        <w:t>Uji Kelayakan Model</w:t>
      </w:r>
    </w:p>
    <w:p w:rsidR="007F2C85" w:rsidRDefault="005538B5">
      <w:pPr>
        <w:spacing w:before="80" w:after="200"/>
        <w:jc w:val="center"/>
      </w:pPr>
      <w:r>
        <w:t>Table 2. Uji Kelayakan Model</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4000"/>
      </w:tblGrid>
      <w:tr w:rsidR="007F2C85">
        <w:tblPrEx>
          <w:tblCellMar>
            <w:top w:w="0" w:type="dxa"/>
            <w:bottom w:w="0" w:type="dxa"/>
          </w:tblCellMar>
        </w:tblPrEx>
        <w:trPr>
          <w:tblHeader/>
        </w:trPr>
        <w:tc>
          <w:tcPr>
            <w:tcW w:w="4000" w:type="dxa"/>
            <w:shd w:val="clear" w:color="auto" w:fill="D9D9D9"/>
            <w:vAlign w:val="center"/>
          </w:tcPr>
          <w:p w:rsidR="007F2C85" w:rsidRDefault="005538B5">
            <w:pPr>
              <w:jc w:val="center"/>
            </w:pPr>
            <w:r>
              <w:rPr>
                <w:b/>
                <w:bCs/>
                <w:sz w:val="18"/>
                <w:szCs w:val="18"/>
              </w:rPr>
              <w:t>Uji Kelayakan Model</w:t>
            </w:r>
          </w:p>
        </w:tc>
        <w:tc>
          <w:tcPr>
            <w:tcW w:w="4000" w:type="dxa"/>
            <w:shd w:val="clear" w:color="auto" w:fill="D9D9D9"/>
            <w:vAlign w:val="center"/>
          </w:tcPr>
          <w:p w:rsidR="007F2C85" w:rsidRDefault="005538B5">
            <w:pPr>
              <w:jc w:val="center"/>
            </w:pPr>
            <w:r>
              <w:rPr>
                <w:b/>
                <w:bCs/>
                <w:sz w:val="18"/>
                <w:szCs w:val="18"/>
              </w:rPr>
              <w:t>Hasil Pengujian</w:t>
            </w:r>
          </w:p>
        </w:tc>
      </w:tr>
      <w:tr w:rsidR="007F2C85">
        <w:tblPrEx>
          <w:tblCellMar>
            <w:top w:w="0" w:type="dxa"/>
            <w:bottom w:w="0" w:type="dxa"/>
          </w:tblCellMar>
        </w:tblPrEx>
        <w:tc>
          <w:tcPr>
            <w:tcW w:w="4000" w:type="dxa"/>
            <w:vAlign w:val="center"/>
          </w:tcPr>
          <w:p w:rsidR="007F2C85" w:rsidRDefault="005538B5">
            <w:r>
              <w:rPr>
                <w:sz w:val="18"/>
                <w:szCs w:val="18"/>
              </w:rPr>
              <w:t>Prob. Chi-Square</w:t>
            </w:r>
          </w:p>
        </w:tc>
        <w:tc>
          <w:tcPr>
            <w:tcW w:w="4000" w:type="dxa"/>
            <w:vAlign w:val="center"/>
          </w:tcPr>
          <w:p w:rsidR="007F2C85" w:rsidRDefault="005538B5">
            <w:pPr>
              <w:jc w:val="center"/>
            </w:pPr>
            <w:r>
              <w:rPr>
                <w:sz w:val="18"/>
                <w:szCs w:val="18"/>
              </w:rPr>
              <w:t>0.0594</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Tabel 2 menjelaskan hasil dari uji kelayakan model dengan nilai </w:t>
      </w:r>
      <w:r>
        <w:rPr>
          <w:i/>
          <w:iCs/>
        </w:rPr>
        <w:t>Chi-Square</w:t>
      </w:r>
      <w:r>
        <w:t xml:space="preserve"> lebih besar dari α (0</w:t>
      </w:r>
      <w:proofErr w:type="gramStart"/>
      <w:r>
        <w:t>,0594</w:t>
      </w:r>
      <w:proofErr w:type="gramEnd"/>
      <w:r>
        <w:t xml:space="preserve"> &gt;</w:t>
      </w:r>
      <w:r>
        <w:t xml:space="preserve"> 0,05). Dengan demikian, hipotesis nol diterima, yang menunjukkan tidak ada perbedaan signifikan antara nilai yang diamati dan nilai yang diprediksi oleh model. Oleh karena itu, kualitas kesesuaian (</w:t>
      </w:r>
      <w:r>
        <w:rPr>
          <w:i/>
          <w:iCs/>
        </w:rPr>
        <w:t>fit</w:t>
      </w:r>
      <w:r>
        <w:t>) model tergolong baik karena model ini mampu mempredi</w:t>
      </w:r>
      <w:r>
        <w:t>ksi nilai yang diamatinya, sehingga model regresi logistik yang digunakan layak dijadikan sebagai dasar analisis.</w:t>
      </w:r>
    </w:p>
    <w:p w:rsidR="007F2C85" w:rsidRDefault="005538B5">
      <w:pPr>
        <w:spacing w:before="160" w:after="100"/>
      </w:pPr>
      <w:r>
        <w:rPr>
          <w:b/>
          <w:bCs/>
          <w:i/>
          <w:iCs/>
        </w:rPr>
        <w:t>Uji Model Keseluruhan</w:t>
      </w:r>
    </w:p>
    <w:p w:rsidR="007F2C85" w:rsidRDefault="005538B5">
      <w:pPr>
        <w:spacing w:before="80" w:after="200"/>
        <w:jc w:val="center"/>
      </w:pPr>
      <w:r>
        <w:t>Table 3. Uji Model Keseluruhan (Maximum Likelihood)</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4000"/>
      </w:tblGrid>
      <w:tr w:rsidR="007F2C85">
        <w:tblPrEx>
          <w:tblCellMar>
            <w:top w:w="0" w:type="dxa"/>
            <w:bottom w:w="0" w:type="dxa"/>
          </w:tblCellMar>
        </w:tblPrEx>
        <w:trPr>
          <w:tblHeader/>
        </w:trPr>
        <w:tc>
          <w:tcPr>
            <w:tcW w:w="4000" w:type="dxa"/>
            <w:shd w:val="clear" w:color="auto" w:fill="D9D9D9"/>
            <w:vAlign w:val="center"/>
          </w:tcPr>
          <w:p w:rsidR="007F2C85" w:rsidRDefault="005538B5">
            <w:pPr>
              <w:jc w:val="center"/>
            </w:pPr>
            <w:r>
              <w:rPr>
                <w:b/>
                <w:bCs/>
                <w:sz w:val="18"/>
                <w:szCs w:val="18"/>
              </w:rPr>
              <w:t>Uji Maximum Likelihood</w:t>
            </w:r>
          </w:p>
        </w:tc>
        <w:tc>
          <w:tcPr>
            <w:tcW w:w="4000" w:type="dxa"/>
            <w:shd w:val="clear" w:color="auto" w:fill="D9D9D9"/>
            <w:vAlign w:val="center"/>
          </w:tcPr>
          <w:p w:rsidR="007F2C85" w:rsidRDefault="005538B5">
            <w:pPr>
              <w:jc w:val="center"/>
            </w:pPr>
            <w:r>
              <w:rPr>
                <w:b/>
                <w:bCs/>
                <w:sz w:val="18"/>
                <w:szCs w:val="18"/>
              </w:rPr>
              <w:t>Hasil Pengujian</w:t>
            </w:r>
          </w:p>
        </w:tc>
      </w:tr>
      <w:tr w:rsidR="007F2C85">
        <w:tblPrEx>
          <w:tblCellMar>
            <w:top w:w="0" w:type="dxa"/>
            <w:bottom w:w="0" w:type="dxa"/>
          </w:tblCellMar>
        </w:tblPrEx>
        <w:tc>
          <w:tcPr>
            <w:tcW w:w="4000" w:type="dxa"/>
            <w:vAlign w:val="center"/>
          </w:tcPr>
          <w:p w:rsidR="007F2C85" w:rsidRDefault="005538B5">
            <w:r>
              <w:rPr>
                <w:sz w:val="18"/>
                <w:szCs w:val="18"/>
              </w:rPr>
              <w:t>LR-Statistic</w:t>
            </w:r>
          </w:p>
        </w:tc>
        <w:tc>
          <w:tcPr>
            <w:tcW w:w="4000" w:type="dxa"/>
            <w:vAlign w:val="center"/>
          </w:tcPr>
          <w:p w:rsidR="007F2C85" w:rsidRDefault="005538B5">
            <w:pPr>
              <w:jc w:val="center"/>
            </w:pPr>
            <w:r>
              <w:rPr>
                <w:sz w:val="18"/>
                <w:szCs w:val="18"/>
              </w:rPr>
              <w:t>6.027444</w:t>
            </w:r>
          </w:p>
        </w:tc>
      </w:tr>
      <w:tr w:rsidR="007F2C85">
        <w:tblPrEx>
          <w:tblCellMar>
            <w:top w:w="0" w:type="dxa"/>
            <w:bottom w:w="0" w:type="dxa"/>
          </w:tblCellMar>
        </w:tblPrEx>
        <w:tc>
          <w:tcPr>
            <w:tcW w:w="4000" w:type="dxa"/>
            <w:vAlign w:val="center"/>
          </w:tcPr>
          <w:p w:rsidR="007F2C85" w:rsidRDefault="005538B5">
            <w:r>
              <w:rPr>
                <w:sz w:val="18"/>
                <w:szCs w:val="18"/>
              </w:rPr>
              <w:t>Prob (LR-Statistic)</w:t>
            </w:r>
          </w:p>
        </w:tc>
        <w:tc>
          <w:tcPr>
            <w:tcW w:w="4000" w:type="dxa"/>
            <w:vAlign w:val="center"/>
          </w:tcPr>
          <w:p w:rsidR="007F2C85" w:rsidRDefault="005538B5">
            <w:pPr>
              <w:jc w:val="center"/>
            </w:pPr>
            <w:r>
              <w:rPr>
                <w:sz w:val="18"/>
                <w:szCs w:val="18"/>
              </w:rPr>
              <w:t>0.049109</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Tabel 3 menunjukkan nilai </w:t>
      </w:r>
      <w:r>
        <w:rPr>
          <w:i/>
          <w:iCs/>
        </w:rPr>
        <w:t>LR-Statistic</w:t>
      </w:r>
      <w:r>
        <w:t xml:space="preserve"> sebesar 6,027444, lebih besar dari nilai </w:t>
      </w:r>
      <w:r>
        <w:rPr>
          <w:i/>
          <w:iCs/>
        </w:rPr>
        <w:t>chi-square table</w:t>
      </w:r>
      <w:r>
        <w:t xml:space="preserve"> 5,991465, dan nilai Prob (LR-Statistic) sebesar 0,049109 yang lebih kecil dari α (0,04</w:t>
      </w:r>
      <w:r>
        <w:t xml:space="preserve"> &lt; 0,05). Hasil ini menunjukkan bahwa H0 ditolak dan Ha diterima, yang berarti </w:t>
      </w:r>
      <w:r>
        <w:rPr>
          <w:i/>
          <w:iCs/>
        </w:rPr>
        <w:t>operating profit margin</w:t>
      </w:r>
      <w:r>
        <w:t xml:space="preserve"> dan </w:t>
      </w:r>
      <w:r>
        <w:rPr>
          <w:i/>
          <w:iCs/>
        </w:rPr>
        <w:t>cash holding</w:t>
      </w:r>
      <w:r>
        <w:t xml:space="preserve"> secara bersamaan berpeluang memengaruhi praktik perataan laba pada perusahaan manufaktur subsektor makanan dan minuman yang terdaftar di</w:t>
      </w:r>
      <w:r>
        <w:t xml:space="preserve"> ISSI.</w:t>
      </w:r>
    </w:p>
    <w:p w:rsidR="007F2C85" w:rsidRDefault="005538B5">
      <w:pPr>
        <w:spacing w:before="160" w:after="100"/>
      </w:pPr>
      <w:r>
        <w:rPr>
          <w:b/>
          <w:bCs/>
          <w:i/>
          <w:iCs/>
        </w:rPr>
        <w:t>Uji Wald</w:t>
      </w:r>
    </w:p>
    <w:p w:rsidR="007F2C85" w:rsidRDefault="005538B5">
      <w:pPr>
        <w:spacing w:before="80" w:after="200"/>
        <w:jc w:val="center"/>
      </w:pPr>
      <w:r>
        <w:t>Table 4. Uji Wald</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4000"/>
      </w:tblGrid>
      <w:tr w:rsidR="007F2C85">
        <w:tblPrEx>
          <w:tblCellMar>
            <w:top w:w="0" w:type="dxa"/>
            <w:bottom w:w="0" w:type="dxa"/>
          </w:tblCellMar>
        </w:tblPrEx>
        <w:trPr>
          <w:tblHeader/>
        </w:trPr>
        <w:tc>
          <w:tcPr>
            <w:tcW w:w="4000" w:type="dxa"/>
            <w:shd w:val="clear" w:color="auto" w:fill="D9D9D9"/>
            <w:vAlign w:val="center"/>
          </w:tcPr>
          <w:p w:rsidR="007F2C85" w:rsidRDefault="005538B5">
            <w:pPr>
              <w:jc w:val="center"/>
            </w:pPr>
            <w:r>
              <w:rPr>
                <w:b/>
                <w:bCs/>
                <w:sz w:val="18"/>
                <w:szCs w:val="18"/>
              </w:rPr>
              <w:t>Variabel</w:t>
            </w:r>
          </w:p>
        </w:tc>
        <w:tc>
          <w:tcPr>
            <w:tcW w:w="4000" w:type="dxa"/>
            <w:shd w:val="clear" w:color="auto" w:fill="D9D9D9"/>
            <w:vAlign w:val="center"/>
          </w:tcPr>
          <w:p w:rsidR="007F2C85" w:rsidRDefault="005538B5">
            <w:pPr>
              <w:jc w:val="center"/>
            </w:pPr>
            <w:r>
              <w:rPr>
                <w:b/>
                <w:bCs/>
                <w:sz w:val="18"/>
                <w:szCs w:val="18"/>
              </w:rPr>
              <w:t>Probability (p-value)</w:t>
            </w:r>
          </w:p>
        </w:tc>
      </w:tr>
      <w:tr w:rsidR="007F2C85">
        <w:tblPrEx>
          <w:tblCellMar>
            <w:top w:w="0" w:type="dxa"/>
            <w:bottom w:w="0" w:type="dxa"/>
          </w:tblCellMar>
        </w:tblPrEx>
        <w:tc>
          <w:tcPr>
            <w:tcW w:w="4000" w:type="dxa"/>
            <w:vAlign w:val="center"/>
          </w:tcPr>
          <w:p w:rsidR="007F2C85" w:rsidRDefault="005538B5">
            <w:r>
              <w:rPr>
                <w:sz w:val="18"/>
                <w:szCs w:val="18"/>
              </w:rPr>
              <w:t>Operating profit margin</w:t>
            </w:r>
          </w:p>
        </w:tc>
        <w:tc>
          <w:tcPr>
            <w:tcW w:w="4000" w:type="dxa"/>
            <w:vAlign w:val="center"/>
          </w:tcPr>
          <w:p w:rsidR="007F2C85" w:rsidRDefault="005538B5">
            <w:pPr>
              <w:jc w:val="center"/>
            </w:pPr>
            <w:r>
              <w:rPr>
                <w:sz w:val="18"/>
                <w:szCs w:val="18"/>
              </w:rPr>
              <w:t>0.0219</w:t>
            </w:r>
          </w:p>
        </w:tc>
      </w:tr>
      <w:tr w:rsidR="007F2C85">
        <w:tblPrEx>
          <w:tblCellMar>
            <w:top w:w="0" w:type="dxa"/>
            <w:bottom w:w="0" w:type="dxa"/>
          </w:tblCellMar>
        </w:tblPrEx>
        <w:tc>
          <w:tcPr>
            <w:tcW w:w="4000" w:type="dxa"/>
            <w:vAlign w:val="center"/>
          </w:tcPr>
          <w:p w:rsidR="007F2C85" w:rsidRDefault="005538B5">
            <w:r>
              <w:rPr>
                <w:sz w:val="18"/>
                <w:szCs w:val="18"/>
              </w:rPr>
              <w:t>Cash holding</w:t>
            </w:r>
          </w:p>
        </w:tc>
        <w:tc>
          <w:tcPr>
            <w:tcW w:w="4000" w:type="dxa"/>
            <w:vAlign w:val="center"/>
          </w:tcPr>
          <w:p w:rsidR="007F2C85" w:rsidRDefault="005538B5">
            <w:pPr>
              <w:jc w:val="center"/>
            </w:pPr>
            <w:r>
              <w:rPr>
                <w:sz w:val="18"/>
                <w:szCs w:val="18"/>
              </w:rPr>
              <w:t>0.8746</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Variabel </w:t>
      </w:r>
      <w:r>
        <w:rPr>
          <w:i/>
          <w:iCs/>
        </w:rPr>
        <w:t>operating profit margin</w:t>
      </w:r>
      <w:r>
        <w:t xml:space="preserve"> memiliki nilai probabilitas (p-value) sebesar 0</w:t>
      </w:r>
      <w:proofErr w:type="gramStart"/>
      <w:r>
        <w:t>,0219</w:t>
      </w:r>
      <w:proofErr w:type="gramEnd"/>
      <w:r>
        <w:t xml:space="preserve">, yang lebih kecil dari α (0,0219 &lt; 0,05), sehingga H0 ditolak dan Ha diterima. Hasil ini menunjukkan bahwa </w:t>
      </w:r>
      <w:r>
        <w:rPr>
          <w:i/>
          <w:iCs/>
        </w:rPr>
        <w:t>operating profit margin</w:t>
      </w:r>
      <w:r>
        <w:t xml:space="preserve"> berpengaruh terhadap perataan laba. Sementara itu, variabel </w:t>
      </w:r>
      <w:r>
        <w:rPr>
          <w:i/>
          <w:iCs/>
        </w:rPr>
        <w:t>cash holdin</w:t>
      </w:r>
      <w:r>
        <w:rPr>
          <w:i/>
          <w:iCs/>
        </w:rPr>
        <w:t>g</w:t>
      </w:r>
      <w:r>
        <w:t xml:space="preserve"> memperoleh nilai probabilitas sebesar 0</w:t>
      </w:r>
      <w:proofErr w:type="gramStart"/>
      <w:r>
        <w:t>,8746</w:t>
      </w:r>
      <w:proofErr w:type="gramEnd"/>
      <w:r>
        <w:t xml:space="preserve">, yang lebih besar dari α (0,8746 &gt; 0,05), sehingga H0 diterima dan Ha ditolak. Hasil ini menunjukkan bahwa </w:t>
      </w:r>
      <w:r>
        <w:rPr>
          <w:i/>
          <w:iCs/>
        </w:rPr>
        <w:t>cash holding</w:t>
      </w:r>
      <w:r>
        <w:t xml:space="preserve"> tidak memiliki pengaruh yang signifikan terhadap perataan laba.</w:t>
      </w:r>
    </w:p>
    <w:p w:rsidR="007F2C85" w:rsidRDefault="005538B5">
      <w:pPr>
        <w:spacing w:before="160" w:after="100"/>
      </w:pPr>
      <w:r>
        <w:rPr>
          <w:b/>
          <w:bCs/>
          <w:i/>
          <w:iCs/>
        </w:rPr>
        <w:t>Uji Koefisien McFadden R-</w:t>
      </w:r>
      <w:r>
        <w:rPr>
          <w:b/>
          <w:bCs/>
          <w:i/>
          <w:iCs/>
        </w:rPr>
        <w:t>square</w:t>
      </w:r>
    </w:p>
    <w:p w:rsidR="007F2C85" w:rsidRDefault="005538B5">
      <w:pPr>
        <w:spacing w:before="80" w:after="200"/>
        <w:jc w:val="center"/>
      </w:pPr>
      <w:r>
        <w:t>Table 5. Uji Koefisien McFadden R-square</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4000"/>
      </w:tblGrid>
      <w:tr w:rsidR="007F2C85">
        <w:tblPrEx>
          <w:tblCellMar>
            <w:top w:w="0" w:type="dxa"/>
            <w:bottom w:w="0" w:type="dxa"/>
          </w:tblCellMar>
        </w:tblPrEx>
        <w:trPr>
          <w:tblHeader/>
        </w:trPr>
        <w:tc>
          <w:tcPr>
            <w:tcW w:w="4000" w:type="dxa"/>
            <w:shd w:val="clear" w:color="auto" w:fill="D9D9D9"/>
            <w:vAlign w:val="center"/>
          </w:tcPr>
          <w:p w:rsidR="007F2C85" w:rsidRDefault="005538B5">
            <w:pPr>
              <w:jc w:val="center"/>
            </w:pPr>
            <w:r>
              <w:rPr>
                <w:b/>
                <w:bCs/>
                <w:sz w:val="18"/>
                <w:szCs w:val="18"/>
              </w:rPr>
              <w:t>Nilai McFadden R-square</w:t>
            </w:r>
          </w:p>
        </w:tc>
        <w:tc>
          <w:tcPr>
            <w:tcW w:w="4000" w:type="dxa"/>
            <w:shd w:val="clear" w:color="auto" w:fill="D9D9D9"/>
            <w:vAlign w:val="center"/>
          </w:tcPr>
          <w:p w:rsidR="007F2C85" w:rsidRDefault="005538B5">
            <w:pPr>
              <w:jc w:val="center"/>
            </w:pPr>
            <w:r>
              <w:rPr>
                <w:b/>
                <w:bCs/>
                <w:sz w:val="18"/>
                <w:szCs w:val="18"/>
              </w:rPr>
              <w:t>Hasil</w:t>
            </w:r>
          </w:p>
        </w:tc>
      </w:tr>
      <w:tr w:rsidR="007F2C85">
        <w:tblPrEx>
          <w:tblCellMar>
            <w:top w:w="0" w:type="dxa"/>
            <w:bottom w:w="0" w:type="dxa"/>
          </w:tblCellMar>
        </w:tblPrEx>
        <w:tc>
          <w:tcPr>
            <w:tcW w:w="4000" w:type="dxa"/>
            <w:vAlign w:val="center"/>
          </w:tcPr>
          <w:p w:rsidR="007F2C85" w:rsidRDefault="005538B5">
            <w:r>
              <w:rPr>
                <w:sz w:val="18"/>
                <w:szCs w:val="18"/>
              </w:rPr>
              <w:t>McFadden R-square</w:t>
            </w:r>
          </w:p>
        </w:tc>
        <w:tc>
          <w:tcPr>
            <w:tcW w:w="4000" w:type="dxa"/>
            <w:vAlign w:val="center"/>
          </w:tcPr>
          <w:p w:rsidR="007F2C85" w:rsidRDefault="005538B5">
            <w:pPr>
              <w:jc w:val="center"/>
            </w:pPr>
            <w:r>
              <w:rPr>
                <w:sz w:val="18"/>
                <w:szCs w:val="18"/>
              </w:rPr>
              <w:t>0.168263</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Nilai </w:t>
      </w:r>
      <w:r>
        <w:rPr>
          <w:i/>
          <w:iCs/>
        </w:rPr>
        <w:t>McFadden R-square</w:t>
      </w:r>
      <w:r>
        <w:t xml:space="preserve"> untuk model adalah 0,168263. Hasil ini menunjukkan bahwa variabel independen mampu menjelaskan variabel dependen sebesar 16</w:t>
      </w:r>
      <w:proofErr w:type="gramStart"/>
      <w:r>
        <w:t>,82</w:t>
      </w:r>
      <w:proofErr w:type="gramEnd"/>
      <w:r>
        <w:t>%, sedangkan sisanya sebesar 83,18% dijelaskan oleh variabel lain di luar model. Nilai ini mengindikasikan bahwa tingkat hubungan</w:t>
      </w:r>
      <w:r>
        <w:t xml:space="preserve"> antara variabel independen dan variabel dependen tergolong rendah.</w:t>
      </w:r>
    </w:p>
    <w:p w:rsidR="007F2C85" w:rsidRDefault="005538B5">
      <w:pPr>
        <w:spacing w:before="160" w:after="100"/>
      </w:pPr>
      <w:r>
        <w:rPr>
          <w:b/>
          <w:bCs/>
          <w:i/>
          <w:iCs/>
        </w:rPr>
        <w:t>Uji Akurasi Model</w:t>
      </w:r>
    </w:p>
    <w:p w:rsidR="007F2C85" w:rsidRDefault="005538B5">
      <w:pPr>
        <w:spacing w:before="80" w:after="200"/>
        <w:jc w:val="center"/>
      </w:pPr>
      <w:r>
        <w:t>Table 6. Uji Akurasi Model (Classification Table)</w:t>
      </w:r>
    </w:p>
    <w:tbl>
      <w:tblPr>
        <w:tblW w:w="82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100"/>
        <w:gridCol w:w="1100"/>
        <w:gridCol w:w="1100"/>
        <w:gridCol w:w="1100"/>
        <w:gridCol w:w="1100"/>
        <w:gridCol w:w="1100"/>
      </w:tblGrid>
      <w:tr w:rsidR="007F2C85">
        <w:tblPrEx>
          <w:tblCellMar>
            <w:top w:w="0" w:type="dxa"/>
            <w:bottom w:w="0" w:type="dxa"/>
          </w:tblCellMar>
        </w:tblPrEx>
        <w:trPr>
          <w:tblHeader/>
        </w:trPr>
        <w:tc>
          <w:tcPr>
            <w:tcW w:w="1600" w:type="dxa"/>
            <w:shd w:val="clear" w:color="auto" w:fill="D9D9D9"/>
            <w:vAlign w:val="center"/>
          </w:tcPr>
          <w:p w:rsidR="007F2C85" w:rsidRDefault="005538B5">
            <w:pPr>
              <w:jc w:val="center"/>
            </w:pPr>
            <w:r>
              <w:rPr>
                <w:b/>
                <w:bCs/>
                <w:sz w:val="18"/>
                <w:szCs w:val="18"/>
              </w:rPr>
              <w:t>Prediksi</w:t>
            </w:r>
          </w:p>
        </w:tc>
        <w:tc>
          <w:tcPr>
            <w:tcW w:w="1100" w:type="dxa"/>
            <w:shd w:val="clear" w:color="auto" w:fill="D9D9D9"/>
            <w:vAlign w:val="center"/>
          </w:tcPr>
          <w:p w:rsidR="007F2C85" w:rsidRDefault="005538B5">
            <w:pPr>
              <w:jc w:val="center"/>
            </w:pPr>
            <w:r>
              <w:rPr>
                <w:b/>
                <w:bCs/>
                <w:sz w:val="18"/>
                <w:szCs w:val="18"/>
              </w:rPr>
              <w:t>Estimated Equation Dep=0</w:t>
            </w:r>
          </w:p>
        </w:tc>
        <w:tc>
          <w:tcPr>
            <w:tcW w:w="1100" w:type="dxa"/>
            <w:shd w:val="clear" w:color="auto" w:fill="D9D9D9"/>
            <w:vAlign w:val="center"/>
          </w:tcPr>
          <w:p w:rsidR="007F2C85" w:rsidRDefault="005538B5">
            <w:pPr>
              <w:jc w:val="center"/>
            </w:pPr>
            <w:r>
              <w:rPr>
                <w:b/>
                <w:bCs/>
                <w:sz w:val="18"/>
                <w:szCs w:val="18"/>
              </w:rPr>
              <w:t>Estimated Equation Dep=1</w:t>
            </w:r>
          </w:p>
        </w:tc>
        <w:tc>
          <w:tcPr>
            <w:tcW w:w="1100" w:type="dxa"/>
            <w:shd w:val="clear" w:color="auto" w:fill="D9D9D9"/>
            <w:vAlign w:val="center"/>
          </w:tcPr>
          <w:p w:rsidR="007F2C85" w:rsidRDefault="005538B5">
            <w:pPr>
              <w:jc w:val="center"/>
            </w:pPr>
            <w:r>
              <w:rPr>
                <w:b/>
                <w:bCs/>
                <w:sz w:val="18"/>
                <w:szCs w:val="18"/>
              </w:rPr>
              <w:t>Estimated Equation Total</w:t>
            </w:r>
          </w:p>
        </w:tc>
        <w:tc>
          <w:tcPr>
            <w:tcW w:w="1100" w:type="dxa"/>
            <w:shd w:val="clear" w:color="auto" w:fill="D9D9D9"/>
            <w:vAlign w:val="center"/>
          </w:tcPr>
          <w:p w:rsidR="007F2C85" w:rsidRDefault="005538B5">
            <w:pPr>
              <w:jc w:val="center"/>
            </w:pPr>
            <w:r>
              <w:rPr>
                <w:b/>
                <w:bCs/>
                <w:sz w:val="18"/>
                <w:szCs w:val="18"/>
              </w:rPr>
              <w:t>Constant Probability Dep=0</w:t>
            </w:r>
          </w:p>
        </w:tc>
        <w:tc>
          <w:tcPr>
            <w:tcW w:w="1100" w:type="dxa"/>
            <w:shd w:val="clear" w:color="auto" w:fill="D9D9D9"/>
            <w:vAlign w:val="center"/>
          </w:tcPr>
          <w:p w:rsidR="007F2C85" w:rsidRDefault="005538B5">
            <w:pPr>
              <w:jc w:val="center"/>
            </w:pPr>
            <w:r>
              <w:rPr>
                <w:b/>
                <w:bCs/>
                <w:sz w:val="18"/>
                <w:szCs w:val="18"/>
              </w:rPr>
              <w:t xml:space="preserve">Constant </w:t>
            </w:r>
            <w:r>
              <w:rPr>
                <w:b/>
                <w:bCs/>
                <w:sz w:val="18"/>
                <w:szCs w:val="18"/>
              </w:rPr>
              <w:t>Probability Dep=1</w:t>
            </w:r>
          </w:p>
        </w:tc>
        <w:tc>
          <w:tcPr>
            <w:tcW w:w="1100" w:type="dxa"/>
            <w:shd w:val="clear" w:color="auto" w:fill="D9D9D9"/>
            <w:vAlign w:val="center"/>
          </w:tcPr>
          <w:p w:rsidR="007F2C85" w:rsidRDefault="005538B5">
            <w:pPr>
              <w:jc w:val="center"/>
            </w:pPr>
            <w:r>
              <w:rPr>
                <w:b/>
                <w:bCs/>
                <w:sz w:val="18"/>
                <w:szCs w:val="18"/>
              </w:rPr>
              <w:t>Constant Probability Total</w:t>
            </w:r>
          </w:p>
        </w:tc>
      </w:tr>
      <w:tr w:rsidR="007F2C85">
        <w:tblPrEx>
          <w:tblCellMar>
            <w:top w:w="0" w:type="dxa"/>
            <w:bottom w:w="0" w:type="dxa"/>
          </w:tblCellMar>
        </w:tblPrEx>
        <w:tc>
          <w:tcPr>
            <w:tcW w:w="1600" w:type="dxa"/>
            <w:vAlign w:val="center"/>
          </w:tcPr>
          <w:p w:rsidR="007F2C85" w:rsidRDefault="005538B5">
            <w:r>
              <w:rPr>
                <w:sz w:val="18"/>
                <w:szCs w:val="18"/>
              </w:rPr>
              <w:t>P(Dep=1) &lt;= C</w:t>
            </w:r>
          </w:p>
        </w:tc>
        <w:tc>
          <w:tcPr>
            <w:tcW w:w="1100" w:type="dxa"/>
            <w:vAlign w:val="center"/>
          </w:tcPr>
          <w:p w:rsidR="007F2C85" w:rsidRDefault="005538B5">
            <w:pPr>
              <w:jc w:val="center"/>
            </w:pPr>
            <w:r>
              <w:rPr>
                <w:sz w:val="18"/>
                <w:szCs w:val="18"/>
              </w:rPr>
              <w:t>39</w:t>
            </w:r>
          </w:p>
        </w:tc>
        <w:tc>
          <w:tcPr>
            <w:tcW w:w="1100" w:type="dxa"/>
            <w:vAlign w:val="center"/>
          </w:tcPr>
          <w:p w:rsidR="007F2C85" w:rsidRDefault="005538B5">
            <w:pPr>
              <w:jc w:val="center"/>
            </w:pPr>
            <w:r>
              <w:rPr>
                <w:sz w:val="18"/>
                <w:szCs w:val="18"/>
              </w:rPr>
              <w:t>17</w:t>
            </w:r>
          </w:p>
        </w:tc>
        <w:tc>
          <w:tcPr>
            <w:tcW w:w="1100" w:type="dxa"/>
            <w:vAlign w:val="center"/>
          </w:tcPr>
          <w:p w:rsidR="007F2C85" w:rsidRDefault="005538B5">
            <w:pPr>
              <w:jc w:val="center"/>
            </w:pPr>
            <w:r>
              <w:rPr>
                <w:sz w:val="18"/>
                <w:szCs w:val="18"/>
              </w:rPr>
              <w:t>56</w:t>
            </w:r>
          </w:p>
        </w:tc>
        <w:tc>
          <w:tcPr>
            <w:tcW w:w="1100" w:type="dxa"/>
            <w:vAlign w:val="center"/>
          </w:tcPr>
          <w:p w:rsidR="007F2C85" w:rsidRDefault="005538B5">
            <w:pPr>
              <w:jc w:val="center"/>
            </w:pPr>
            <w:r>
              <w:rPr>
                <w:sz w:val="18"/>
                <w:szCs w:val="18"/>
              </w:rPr>
              <w:t>44</w:t>
            </w:r>
          </w:p>
        </w:tc>
        <w:tc>
          <w:tcPr>
            <w:tcW w:w="1100" w:type="dxa"/>
            <w:vAlign w:val="center"/>
          </w:tcPr>
          <w:p w:rsidR="007F2C85" w:rsidRDefault="005538B5">
            <w:pPr>
              <w:jc w:val="center"/>
            </w:pPr>
            <w:r>
              <w:rPr>
                <w:sz w:val="18"/>
                <w:szCs w:val="18"/>
              </w:rPr>
              <w:t>24</w:t>
            </w:r>
          </w:p>
        </w:tc>
        <w:tc>
          <w:tcPr>
            <w:tcW w:w="1100" w:type="dxa"/>
            <w:vAlign w:val="center"/>
          </w:tcPr>
          <w:p w:rsidR="007F2C85" w:rsidRDefault="005538B5">
            <w:pPr>
              <w:jc w:val="center"/>
            </w:pPr>
            <w:r>
              <w:rPr>
                <w:sz w:val="18"/>
                <w:szCs w:val="18"/>
              </w:rPr>
              <w:t>68</w:t>
            </w:r>
          </w:p>
        </w:tc>
      </w:tr>
      <w:tr w:rsidR="007F2C85">
        <w:tblPrEx>
          <w:tblCellMar>
            <w:top w:w="0" w:type="dxa"/>
            <w:bottom w:w="0" w:type="dxa"/>
          </w:tblCellMar>
        </w:tblPrEx>
        <w:tc>
          <w:tcPr>
            <w:tcW w:w="1600" w:type="dxa"/>
            <w:vAlign w:val="center"/>
          </w:tcPr>
          <w:p w:rsidR="007F2C85" w:rsidRDefault="005538B5">
            <w:r>
              <w:rPr>
                <w:sz w:val="18"/>
                <w:szCs w:val="18"/>
              </w:rPr>
              <w:t>P(Dep=1) &gt; C</w:t>
            </w:r>
          </w:p>
        </w:tc>
        <w:tc>
          <w:tcPr>
            <w:tcW w:w="1100" w:type="dxa"/>
            <w:vAlign w:val="center"/>
          </w:tcPr>
          <w:p w:rsidR="007F2C85" w:rsidRDefault="005538B5">
            <w:pPr>
              <w:jc w:val="center"/>
            </w:pPr>
            <w:r>
              <w:rPr>
                <w:sz w:val="18"/>
                <w:szCs w:val="18"/>
              </w:rPr>
              <w:t>5</w:t>
            </w:r>
          </w:p>
        </w:tc>
        <w:tc>
          <w:tcPr>
            <w:tcW w:w="1100" w:type="dxa"/>
            <w:vAlign w:val="center"/>
          </w:tcPr>
          <w:p w:rsidR="007F2C85" w:rsidRDefault="005538B5">
            <w:pPr>
              <w:jc w:val="center"/>
            </w:pPr>
            <w:r>
              <w:rPr>
                <w:sz w:val="18"/>
                <w:szCs w:val="18"/>
              </w:rPr>
              <w:t>7</w:t>
            </w:r>
          </w:p>
        </w:tc>
        <w:tc>
          <w:tcPr>
            <w:tcW w:w="1100" w:type="dxa"/>
            <w:vAlign w:val="center"/>
          </w:tcPr>
          <w:p w:rsidR="007F2C85" w:rsidRDefault="005538B5">
            <w:pPr>
              <w:jc w:val="center"/>
            </w:pPr>
            <w:r>
              <w:rPr>
                <w:sz w:val="18"/>
                <w:szCs w:val="18"/>
              </w:rPr>
              <w:t>12</w:t>
            </w:r>
          </w:p>
        </w:tc>
        <w:tc>
          <w:tcPr>
            <w:tcW w:w="1100" w:type="dxa"/>
            <w:vAlign w:val="center"/>
          </w:tcPr>
          <w:p w:rsidR="007F2C85" w:rsidRDefault="005538B5">
            <w:pPr>
              <w:jc w:val="center"/>
            </w:pPr>
            <w:r>
              <w:rPr>
                <w:sz w:val="18"/>
                <w:szCs w:val="18"/>
              </w:rPr>
              <w:t>0</w:t>
            </w:r>
          </w:p>
        </w:tc>
        <w:tc>
          <w:tcPr>
            <w:tcW w:w="1100" w:type="dxa"/>
            <w:vAlign w:val="center"/>
          </w:tcPr>
          <w:p w:rsidR="007F2C85" w:rsidRDefault="005538B5">
            <w:pPr>
              <w:jc w:val="center"/>
            </w:pPr>
            <w:r>
              <w:rPr>
                <w:sz w:val="18"/>
                <w:szCs w:val="18"/>
              </w:rPr>
              <w:t>0</w:t>
            </w:r>
          </w:p>
        </w:tc>
        <w:tc>
          <w:tcPr>
            <w:tcW w:w="1100" w:type="dxa"/>
            <w:vAlign w:val="center"/>
          </w:tcPr>
          <w:p w:rsidR="007F2C85" w:rsidRDefault="005538B5">
            <w:pPr>
              <w:jc w:val="center"/>
            </w:pPr>
            <w:r>
              <w:rPr>
                <w:sz w:val="18"/>
                <w:szCs w:val="18"/>
              </w:rPr>
              <w:t>0</w:t>
            </w:r>
          </w:p>
        </w:tc>
      </w:tr>
      <w:tr w:rsidR="007F2C85">
        <w:tblPrEx>
          <w:tblCellMar>
            <w:top w:w="0" w:type="dxa"/>
            <w:bottom w:w="0" w:type="dxa"/>
          </w:tblCellMar>
        </w:tblPrEx>
        <w:tc>
          <w:tcPr>
            <w:tcW w:w="1600" w:type="dxa"/>
            <w:vAlign w:val="center"/>
          </w:tcPr>
          <w:p w:rsidR="007F2C85" w:rsidRDefault="005538B5">
            <w:r>
              <w:rPr>
                <w:sz w:val="18"/>
                <w:szCs w:val="18"/>
              </w:rPr>
              <w:t>Total</w:t>
            </w:r>
          </w:p>
        </w:tc>
        <w:tc>
          <w:tcPr>
            <w:tcW w:w="1100" w:type="dxa"/>
            <w:vAlign w:val="center"/>
          </w:tcPr>
          <w:p w:rsidR="007F2C85" w:rsidRDefault="005538B5">
            <w:pPr>
              <w:jc w:val="center"/>
            </w:pPr>
            <w:r>
              <w:rPr>
                <w:sz w:val="18"/>
                <w:szCs w:val="18"/>
              </w:rPr>
              <w:t>44</w:t>
            </w:r>
          </w:p>
        </w:tc>
        <w:tc>
          <w:tcPr>
            <w:tcW w:w="1100" w:type="dxa"/>
            <w:vAlign w:val="center"/>
          </w:tcPr>
          <w:p w:rsidR="007F2C85" w:rsidRDefault="005538B5">
            <w:pPr>
              <w:jc w:val="center"/>
            </w:pPr>
            <w:r>
              <w:rPr>
                <w:sz w:val="18"/>
                <w:szCs w:val="18"/>
              </w:rPr>
              <w:t>24</w:t>
            </w:r>
          </w:p>
        </w:tc>
        <w:tc>
          <w:tcPr>
            <w:tcW w:w="1100" w:type="dxa"/>
            <w:vAlign w:val="center"/>
          </w:tcPr>
          <w:p w:rsidR="007F2C85" w:rsidRDefault="005538B5">
            <w:pPr>
              <w:jc w:val="center"/>
            </w:pPr>
            <w:r>
              <w:rPr>
                <w:sz w:val="18"/>
                <w:szCs w:val="18"/>
              </w:rPr>
              <w:t>68</w:t>
            </w:r>
          </w:p>
        </w:tc>
        <w:tc>
          <w:tcPr>
            <w:tcW w:w="1100" w:type="dxa"/>
            <w:vAlign w:val="center"/>
          </w:tcPr>
          <w:p w:rsidR="007F2C85" w:rsidRDefault="005538B5">
            <w:pPr>
              <w:jc w:val="center"/>
            </w:pPr>
            <w:r>
              <w:rPr>
                <w:sz w:val="18"/>
                <w:szCs w:val="18"/>
              </w:rPr>
              <w:t>44</w:t>
            </w:r>
          </w:p>
        </w:tc>
        <w:tc>
          <w:tcPr>
            <w:tcW w:w="1100" w:type="dxa"/>
            <w:vAlign w:val="center"/>
          </w:tcPr>
          <w:p w:rsidR="007F2C85" w:rsidRDefault="005538B5">
            <w:pPr>
              <w:jc w:val="center"/>
            </w:pPr>
            <w:r>
              <w:rPr>
                <w:sz w:val="18"/>
                <w:szCs w:val="18"/>
              </w:rPr>
              <w:t>24</w:t>
            </w:r>
          </w:p>
        </w:tc>
        <w:tc>
          <w:tcPr>
            <w:tcW w:w="1100" w:type="dxa"/>
            <w:vAlign w:val="center"/>
          </w:tcPr>
          <w:p w:rsidR="007F2C85" w:rsidRDefault="005538B5">
            <w:pPr>
              <w:jc w:val="center"/>
            </w:pPr>
            <w:r>
              <w:rPr>
                <w:sz w:val="18"/>
                <w:szCs w:val="18"/>
              </w:rPr>
              <w:t>68</w:t>
            </w:r>
          </w:p>
        </w:tc>
      </w:tr>
      <w:tr w:rsidR="007F2C85">
        <w:tblPrEx>
          <w:tblCellMar>
            <w:top w:w="0" w:type="dxa"/>
            <w:bottom w:w="0" w:type="dxa"/>
          </w:tblCellMar>
        </w:tblPrEx>
        <w:tc>
          <w:tcPr>
            <w:tcW w:w="1600" w:type="dxa"/>
            <w:vAlign w:val="center"/>
          </w:tcPr>
          <w:p w:rsidR="007F2C85" w:rsidRDefault="005538B5">
            <w:r>
              <w:rPr>
                <w:sz w:val="18"/>
                <w:szCs w:val="18"/>
              </w:rPr>
              <w:t>Correct</w:t>
            </w:r>
          </w:p>
        </w:tc>
        <w:tc>
          <w:tcPr>
            <w:tcW w:w="1100" w:type="dxa"/>
            <w:vAlign w:val="center"/>
          </w:tcPr>
          <w:p w:rsidR="007F2C85" w:rsidRDefault="005538B5">
            <w:pPr>
              <w:jc w:val="center"/>
            </w:pPr>
            <w:r>
              <w:rPr>
                <w:sz w:val="18"/>
                <w:szCs w:val="18"/>
              </w:rPr>
              <w:t>39</w:t>
            </w:r>
          </w:p>
        </w:tc>
        <w:tc>
          <w:tcPr>
            <w:tcW w:w="1100" w:type="dxa"/>
            <w:vAlign w:val="center"/>
          </w:tcPr>
          <w:p w:rsidR="007F2C85" w:rsidRDefault="005538B5">
            <w:pPr>
              <w:jc w:val="center"/>
            </w:pPr>
            <w:r>
              <w:rPr>
                <w:sz w:val="18"/>
                <w:szCs w:val="18"/>
              </w:rPr>
              <w:t>7</w:t>
            </w:r>
          </w:p>
        </w:tc>
        <w:tc>
          <w:tcPr>
            <w:tcW w:w="1100" w:type="dxa"/>
            <w:vAlign w:val="center"/>
          </w:tcPr>
          <w:p w:rsidR="007F2C85" w:rsidRDefault="005538B5">
            <w:pPr>
              <w:jc w:val="center"/>
            </w:pPr>
            <w:r>
              <w:rPr>
                <w:sz w:val="18"/>
                <w:szCs w:val="18"/>
              </w:rPr>
              <w:t>46</w:t>
            </w:r>
          </w:p>
        </w:tc>
        <w:tc>
          <w:tcPr>
            <w:tcW w:w="1100" w:type="dxa"/>
            <w:vAlign w:val="center"/>
          </w:tcPr>
          <w:p w:rsidR="007F2C85" w:rsidRDefault="005538B5">
            <w:pPr>
              <w:jc w:val="center"/>
            </w:pPr>
            <w:r>
              <w:rPr>
                <w:sz w:val="18"/>
                <w:szCs w:val="18"/>
              </w:rPr>
              <w:t>44</w:t>
            </w:r>
          </w:p>
        </w:tc>
        <w:tc>
          <w:tcPr>
            <w:tcW w:w="1100" w:type="dxa"/>
            <w:vAlign w:val="center"/>
          </w:tcPr>
          <w:p w:rsidR="007F2C85" w:rsidRDefault="005538B5">
            <w:pPr>
              <w:jc w:val="center"/>
            </w:pPr>
            <w:r>
              <w:rPr>
                <w:sz w:val="18"/>
                <w:szCs w:val="18"/>
              </w:rPr>
              <w:t>0</w:t>
            </w:r>
          </w:p>
        </w:tc>
        <w:tc>
          <w:tcPr>
            <w:tcW w:w="1100" w:type="dxa"/>
            <w:vAlign w:val="center"/>
          </w:tcPr>
          <w:p w:rsidR="007F2C85" w:rsidRDefault="005538B5">
            <w:pPr>
              <w:jc w:val="center"/>
            </w:pPr>
            <w:r>
              <w:rPr>
                <w:sz w:val="18"/>
                <w:szCs w:val="18"/>
              </w:rPr>
              <w:t>44</w:t>
            </w:r>
          </w:p>
        </w:tc>
      </w:tr>
      <w:tr w:rsidR="007F2C85">
        <w:tblPrEx>
          <w:tblCellMar>
            <w:top w:w="0" w:type="dxa"/>
            <w:bottom w:w="0" w:type="dxa"/>
          </w:tblCellMar>
        </w:tblPrEx>
        <w:tc>
          <w:tcPr>
            <w:tcW w:w="1600" w:type="dxa"/>
            <w:vAlign w:val="center"/>
          </w:tcPr>
          <w:p w:rsidR="007F2C85" w:rsidRDefault="005538B5">
            <w:r>
              <w:rPr>
                <w:sz w:val="18"/>
                <w:szCs w:val="18"/>
              </w:rPr>
              <w:lastRenderedPageBreak/>
              <w:t>% Correct</w:t>
            </w:r>
          </w:p>
        </w:tc>
        <w:tc>
          <w:tcPr>
            <w:tcW w:w="1100" w:type="dxa"/>
            <w:vAlign w:val="center"/>
          </w:tcPr>
          <w:p w:rsidR="007F2C85" w:rsidRDefault="005538B5">
            <w:pPr>
              <w:jc w:val="center"/>
            </w:pPr>
            <w:r>
              <w:rPr>
                <w:sz w:val="18"/>
                <w:szCs w:val="18"/>
              </w:rPr>
              <w:t>88.64</w:t>
            </w:r>
          </w:p>
        </w:tc>
        <w:tc>
          <w:tcPr>
            <w:tcW w:w="1100" w:type="dxa"/>
            <w:vAlign w:val="center"/>
          </w:tcPr>
          <w:p w:rsidR="007F2C85" w:rsidRDefault="005538B5">
            <w:pPr>
              <w:jc w:val="center"/>
            </w:pPr>
            <w:r>
              <w:rPr>
                <w:sz w:val="18"/>
                <w:szCs w:val="18"/>
              </w:rPr>
              <w:t>29.17</w:t>
            </w:r>
          </w:p>
        </w:tc>
        <w:tc>
          <w:tcPr>
            <w:tcW w:w="1100" w:type="dxa"/>
            <w:vAlign w:val="center"/>
          </w:tcPr>
          <w:p w:rsidR="007F2C85" w:rsidRDefault="005538B5">
            <w:pPr>
              <w:jc w:val="center"/>
            </w:pPr>
            <w:r>
              <w:rPr>
                <w:sz w:val="18"/>
                <w:szCs w:val="18"/>
              </w:rPr>
              <w:t>67.65</w:t>
            </w:r>
          </w:p>
        </w:tc>
        <w:tc>
          <w:tcPr>
            <w:tcW w:w="1100" w:type="dxa"/>
            <w:vAlign w:val="center"/>
          </w:tcPr>
          <w:p w:rsidR="007F2C85" w:rsidRDefault="005538B5">
            <w:pPr>
              <w:jc w:val="center"/>
            </w:pPr>
            <w:r>
              <w:rPr>
                <w:sz w:val="18"/>
                <w:szCs w:val="18"/>
              </w:rPr>
              <w:t>100.00</w:t>
            </w:r>
          </w:p>
        </w:tc>
        <w:tc>
          <w:tcPr>
            <w:tcW w:w="1100" w:type="dxa"/>
            <w:vAlign w:val="center"/>
          </w:tcPr>
          <w:p w:rsidR="007F2C85" w:rsidRDefault="005538B5">
            <w:pPr>
              <w:jc w:val="center"/>
            </w:pPr>
            <w:r>
              <w:rPr>
                <w:sz w:val="18"/>
                <w:szCs w:val="18"/>
              </w:rPr>
              <w:t>0.00</w:t>
            </w:r>
          </w:p>
        </w:tc>
        <w:tc>
          <w:tcPr>
            <w:tcW w:w="1100" w:type="dxa"/>
            <w:vAlign w:val="center"/>
          </w:tcPr>
          <w:p w:rsidR="007F2C85" w:rsidRDefault="005538B5">
            <w:pPr>
              <w:jc w:val="center"/>
            </w:pPr>
            <w:r>
              <w:rPr>
                <w:sz w:val="18"/>
                <w:szCs w:val="18"/>
              </w:rPr>
              <w:t>64.71</w:t>
            </w:r>
          </w:p>
        </w:tc>
      </w:tr>
      <w:tr w:rsidR="007F2C85">
        <w:tblPrEx>
          <w:tblCellMar>
            <w:top w:w="0" w:type="dxa"/>
            <w:bottom w:w="0" w:type="dxa"/>
          </w:tblCellMar>
        </w:tblPrEx>
        <w:tc>
          <w:tcPr>
            <w:tcW w:w="1600" w:type="dxa"/>
            <w:vAlign w:val="center"/>
          </w:tcPr>
          <w:p w:rsidR="007F2C85" w:rsidRDefault="005538B5">
            <w:r>
              <w:rPr>
                <w:sz w:val="18"/>
                <w:szCs w:val="18"/>
              </w:rPr>
              <w:t>% Incorrect</w:t>
            </w:r>
          </w:p>
        </w:tc>
        <w:tc>
          <w:tcPr>
            <w:tcW w:w="1100" w:type="dxa"/>
            <w:vAlign w:val="center"/>
          </w:tcPr>
          <w:p w:rsidR="007F2C85" w:rsidRDefault="005538B5">
            <w:pPr>
              <w:jc w:val="center"/>
            </w:pPr>
            <w:r>
              <w:rPr>
                <w:sz w:val="18"/>
                <w:szCs w:val="18"/>
              </w:rPr>
              <w:t>11.36</w:t>
            </w:r>
          </w:p>
        </w:tc>
        <w:tc>
          <w:tcPr>
            <w:tcW w:w="1100" w:type="dxa"/>
            <w:vAlign w:val="center"/>
          </w:tcPr>
          <w:p w:rsidR="007F2C85" w:rsidRDefault="005538B5">
            <w:pPr>
              <w:jc w:val="center"/>
            </w:pPr>
            <w:r>
              <w:rPr>
                <w:sz w:val="18"/>
                <w:szCs w:val="18"/>
              </w:rPr>
              <w:t>70.83</w:t>
            </w:r>
          </w:p>
        </w:tc>
        <w:tc>
          <w:tcPr>
            <w:tcW w:w="1100" w:type="dxa"/>
            <w:vAlign w:val="center"/>
          </w:tcPr>
          <w:p w:rsidR="007F2C85" w:rsidRDefault="005538B5">
            <w:pPr>
              <w:jc w:val="center"/>
            </w:pPr>
            <w:r>
              <w:rPr>
                <w:sz w:val="18"/>
                <w:szCs w:val="18"/>
              </w:rPr>
              <w:t>32.35</w:t>
            </w:r>
          </w:p>
        </w:tc>
        <w:tc>
          <w:tcPr>
            <w:tcW w:w="1100" w:type="dxa"/>
            <w:vAlign w:val="center"/>
          </w:tcPr>
          <w:p w:rsidR="007F2C85" w:rsidRDefault="005538B5">
            <w:pPr>
              <w:jc w:val="center"/>
            </w:pPr>
            <w:r>
              <w:rPr>
                <w:sz w:val="18"/>
                <w:szCs w:val="18"/>
              </w:rPr>
              <w:t>0.00</w:t>
            </w:r>
          </w:p>
        </w:tc>
        <w:tc>
          <w:tcPr>
            <w:tcW w:w="1100" w:type="dxa"/>
            <w:vAlign w:val="center"/>
          </w:tcPr>
          <w:p w:rsidR="007F2C85" w:rsidRDefault="005538B5">
            <w:pPr>
              <w:jc w:val="center"/>
            </w:pPr>
            <w:r>
              <w:rPr>
                <w:sz w:val="18"/>
                <w:szCs w:val="18"/>
              </w:rPr>
              <w:t>100.00</w:t>
            </w:r>
          </w:p>
        </w:tc>
        <w:tc>
          <w:tcPr>
            <w:tcW w:w="1100" w:type="dxa"/>
            <w:vAlign w:val="center"/>
          </w:tcPr>
          <w:p w:rsidR="007F2C85" w:rsidRDefault="005538B5">
            <w:pPr>
              <w:jc w:val="center"/>
            </w:pPr>
            <w:r>
              <w:rPr>
                <w:sz w:val="18"/>
                <w:szCs w:val="18"/>
              </w:rPr>
              <w:t>35.29</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Berdasarkan hasil pengujian akurasi model pada Tabel 6, dari 68 observasi laporan keuangan perusahaan manufaktur subsektor makanan dan minuman selama tahun 2021-2024, sebanyak 39 laporan keuangan diprediksi secara</w:t>
      </w:r>
      <w:r>
        <w:t xml:space="preserve"> tepat tidak menerapkan praktik perataan laba, sedangkan 7 laporan keuangan diprediksi secara tepat menerapkan praktik perataan laba. Secara keseluruhan, model regresi logistik ini memiliki ketepatan prediksi sebesar 67</w:t>
      </w:r>
      <w:proofErr w:type="gramStart"/>
      <w:r>
        <w:t>,65</w:t>
      </w:r>
      <w:proofErr w:type="gramEnd"/>
      <w:r>
        <w:t>%.</w:t>
      </w:r>
    </w:p>
    <w:p w:rsidR="007F2C85" w:rsidRDefault="005538B5">
      <w:pPr>
        <w:spacing w:before="160" w:after="100"/>
      </w:pPr>
      <w:r>
        <w:rPr>
          <w:b/>
          <w:bCs/>
          <w:i/>
          <w:iCs/>
        </w:rPr>
        <w:t>Interpretasi Koefisien Paramete</w:t>
      </w:r>
      <w:r>
        <w:rPr>
          <w:b/>
          <w:bCs/>
          <w:i/>
          <w:iCs/>
        </w:rPr>
        <w:t>r</w:t>
      </w:r>
    </w:p>
    <w:p w:rsidR="007F2C85" w:rsidRDefault="005538B5">
      <w:pPr>
        <w:spacing w:before="80" w:after="200"/>
        <w:jc w:val="center"/>
      </w:pPr>
      <w:r>
        <w:t>Table 7. Interpretasi Koefisien Parameter</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400"/>
      </w:tblGrid>
      <w:tr w:rsidR="007F2C85">
        <w:tblPrEx>
          <w:tblCellMar>
            <w:top w:w="0" w:type="dxa"/>
            <w:bottom w:w="0" w:type="dxa"/>
          </w:tblCellMar>
        </w:tblPrEx>
        <w:trPr>
          <w:tblHeader/>
        </w:trPr>
        <w:tc>
          <w:tcPr>
            <w:tcW w:w="3200" w:type="dxa"/>
            <w:shd w:val="clear" w:color="auto" w:fill="D9D9D9"/>
            <w:vAlign w:val="center"/>
          </w:tcPr>
          <w:p w:rsidR="007F2C85" w:rsidRDefault="005538B5">
            <w:pPr>
              <w:jc w:val="center"/>
            </w:pPr>
            <w:r>
              <w:rPr>
                <w:b/>
                <w:bCs/>
                <w:sz w:val="18"/>
                <w:szCs w:val="18"/>
              </w:rPr>
              <w:t>Variabel</w:t>
            </w:r>
          </w:p>
        </w:tc>
        <w:tc>
          <w:tcPr>
            <w:tcW w:w="2400" w:type="dxa"/>
            <w:shd w:val="clear" w:color="auto" w:fill="D9D9D9"/>
            <w:vAlign w:val="center"/>
          </w:tcPr>
          <w:p w:rsidR="007F2C85" w:rsidRDefault="005538B5">
            <w:pPr>
              <w:jc w:val="center"/>
            </w:pPr>
            <w:r>
              <w:rPr>
                <w:b/>
                <w:bCs/>
                <w:sz w:val="18"/>
                <w:szCs w:val="18"/>
              </w:rPr>
              <w:t>Coefficient</w:t>
            </w:r>
          </w:p>
        </w:tc>
        <w:tc>
          <w:tcPr>
            <w:tcW w:w="2400" w:type="dxa"/>
            <w:shd w:val="clear" w:color="auto" w:fill="D9D9D9"/>
            <w:vAlign w:val="center"/>
          </w:tcPr>
          <w:p w:rsidR="007F2C85" w:rsidRDefault="005538B5">
            <w:pPr>
              <w:jc w:val="center"/>
            </w:pPr>
            <w:r>
              <w:rPr>
                <w:b/>
                <w:bCs/>
                <w:sz w:val="18"/>
                <w:szCs w:val="18"/>
              </w:rPr>
              <w:t>P-value</w:t>
            </w:r>
          </w:p>
        </w:tc>
      </w:tr>
      <w:tr w:rsidR="007F2C85">
        <w:tblPrEx>
          <w:tblCellMar>
            <w:top w:w="0" w:type="dxa"/>
            <w:bottom w:w="0" w:type="dxa"/>
          </w:tblCellMar>
        </w:tblPrEx>
        <w:tc>
          <w:tcPr>
            <w:tcW w:w="3200" w:type="dxa"/>
            <w:vAlign w:val="center"/>
          </w:tcPr>
          <w:p w:rsidR="007F2C85" w:rsidRDefault="005538B5">
            <w:r>
              <w:rPr>
                <w:sz w:val="18"/>
                <w:szCs w:val="18"/>
              </w:rPr>
              <w:t>Konstanta (Perataan laba)</w:t>
            </w:r>
          </w:p>
        </w:tc>
        <w:tc>
          <w:tcPr>
            <w:tcW w:w="2400" w:type="dxa"/>
            <w:vAlign w:val="center"/>
          </w:tcPr>
          <w:p w:rsidR="007F2C85" w:rsidRDefault="005538B5">
            <w:pPr>
              <w:jc w:val="center"/>
            </w:pPr>
            <w:r>
              <w:rPr>
                <w:sz w:val="18"/>
                <w:szCs w:val="18"/>
              </w:rPr>
              <w:t>0.603916</w:t>
            </w:r>
          </w:p>
        </w:tc>
        <w:tc>
          <w:tcPr>
            <w:tcW w:w="2400" w:type="dxa"/>
            <w:vAlign w:val="center"/>
          </w:tcPr>
          <w:p w:rsidR="007F2C85" w:rsidRDefault="005538B5">
            <w:pPr>
              <w:jc w:val="center"/>
            </w:pPr>
            <w:r>
              <w:rPr>
                <w:sz w:val="18"/>
                <w:szCs w:val="18"/>
              </w:rPr>
              <w:t>0.3724</w:t>
            </w:r>
          </w:p>
        </w:tc>
      </w:tr>
      <w:tr w:rsidR="007F2C85">
        <w:tblPrEx>
          <w:tblCellMar>
            <w:top w:w="0" w:type="dxa"/>
            <w:bottom w:w="0" w:type="dxa"/>
          </w:tblCellMar>
        </w:tblPrEx>
        <w:tc>
          <w:tcPr>
            <w:tcW w:w="3200" w:type="dxa"/>
            <w:vAlign w:val="center"/>
          </w:tcPr>
          <w:p w:rsidR="007F2C85" w:rsidRDefault="005538B5">
            <w:r>
              <w:rPr>
                <w:sz w:val="18"/>
                <w:szCs w:val="18"/>
              </w:rPr>
              <w:t>Operating Profit Margin</w:t>
            </w:r>
          </w:p>
        </w:tc>
        <w:tc>
          <w:tcPr>
            <w:tcW w:w="2400" w:type="dxa"/>
            <w:vAlign w:val="center"/>
          </w:tcPr>
          <w:p w:rsidR="007F2C85" w:rsidRDefault="005538B5">
            <w:pPr>
              <w:jc w:val="center"/>
            </w:pPr>
            <w:r>
              <w:rPr>
                <w:sz w:val="18"/>
                <w:szCs w:val="18"/>
              </w:rPr>
              <w:t>-11.56827</w:t>
            </w:r>
          </w:p>
        </w:tc>
        <w:tc>
          <w:tcPr>
            <w:tcW w:w="2400" w:type="dxa"/>
            <w:vAlign w:val="center"/>
          </w:tcPr>
          <w:p w:rsidR="007F2C85" w:rsidRDefault="005538B5">
            <w:pPr>
              <w:jc w:val="center"/>
            </w:pPr>
            <w:r>
              <w:rPr>
                <w:sz w:val="18"/>
                <w:szCs w:val="18"/>
              </w:rPr>
              <w:t>0.0219</w:t>
            </w:r>
          </w:p>
        </w:tc>
      </w:tr>
      <w:tr w:rsidR="007F2C85">
        <w:tblPrEx>
          <w:tblCellMar>
            <w:top w:w="0" w:type="dxa"/>
            <w:bottom w:w="0" w:type="dxa"/>
          </w:tblCellMar>
        </w:tblPrEx>
        <w:tc>
          <w:tcPr>
            <w:tcW w:w="3200" w:type="dxa"/>
            <w:vAlign w:val="center"/>
          </w:tcPr>
          <w:p w:rsidR="007F2C85" w:rsidRDefault="005538B5">
            <w:r>
              <w:rPr>
                <w:sz w:val="18"/>
                <w:szCs w:val="18"/>
              </w:rPr>
              <w:t>Cash holding</w:t>
            </w:r>
          </w:p>
        </w:tc>
        <w:tc>
          <w:tcPr>
            <w:tcW w:w="2400" w:type="dxa"/>
            <w:vAlign w:val="center"/>
          </w:tcPr>
          <w:p w:rsidR="007F2C85" w:rsidRDefault="005538B5">
            <w:pPr>
              <w:jc w:val="center"/>
            </w:pPr>
            <w:r>
              <w:rPr>
                <w:sz w:val="18"/>
                <w:szCs w:val="18"/>
              </w:rPr>
              <w:t>0.448437</w:t>
            </w:r>
          </w:p>
        </w:tc>
        <w:tc>
          <w:tcPr>
            <w:tcW w:w="2400" w:type="dxa"/>
            <w:vAlign w:val="center"/>
          </w:tcPr>
          <w:p w:rsidR="007F2C85" w:rsidRDefault="005538B5">
            <w:pPr>
              <w:jc w:val="center"/>
            </w:pPr>
            <w:r>
              <w:rPr>
                <w:sz w:val="18"/>
                <w:szCs w:val="18"/>
              </w:rPr>
              <w:t>0.8746</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Pada periode 2021-2024, perataan laba pada perusahaan manufaktur subsektor makanan dan minuman di ISSI dipengaruhi oleh </w:t>
      </w:r>
      <w:r>
        <w:rPr>
          <w:i/>
          <w:iCs/>
        </w:rPr>
        <w:t>operating profit margin</w:t>
      </w:r>
      <w:r>
        <w:t xml:space="preserve"> dan </w:t>
      </w:r>
      <w:r>
        <w:rPr>
          <w:i/>
          <w:iCs/>
        </w:rPr>
        <w:t>cash holding</w:t>
      </w:r>
      <w:r>
        <w:t>. Berdasarkan hasil pada Tabel 7, pengujian hipotesis dapat diuraikan sebagai berikut.</w:t>
      </w:r>
    </w:p>
    <w:p w:rsidR="007F2C85" w:rsidRDefault="005538B5">
      <w:pPr>
        <w:pStyle w:val="ListParagraph"/>
        <w:numPr>
          <w:ilvl w:val="0"/>
          <w:numId w:val="2"/>
        </w:numPr>
        <w:spacing w:after="100"/>
        <w:jc w:val="both"/>
      </w:pPr>
      <w:r>
        <w:t>Nilai kon</w:t>
      </w:r>
      <w:r>
        <w:t xml:space="preserve">stanta yang diperoleh sebesar 0,603916 dapat diartikan bahwa jika variabel independen bernilai nol, terdapat logaritma peluang terjadinya perataan laba. Namun, nilai ini tidak signifikan secara statistik karena </w:t>
      </w:r>
      <w:r>
        <w:rPr>
          <w:i/>
          <w:iCs/>
        </w:rPr>
        <w:t>p-value</w:t>
      </w:r>
      <w:r>
        <w:t xml:space="preserve"> sebesar 0</w:t>
      </w:r>
      <w:proofErr w:type="gramStart"/>
      <w:r>
        <w:t>,3724</w:t>
      </w:r>
      <w:proofErr w:type="gramEnd"/>
      <w:r>
        <w:t>.</w:t>
      </w:r>
    </w:p>
    <w:p w:rsidR="007F2C85" w:rsidRDefault="005538B5">
      <w:pPr>
        <w:pStyle w:val="ListParagraph"/>
        <w:numPr>
          <w:ilvl w:val="0"/>
          <w:numId w:val="2"/>
        </w:numPr>
        <w:spacing w:after="100"/>
        <w:jc w:val="both"/>
      </w:pPr>
      <w:r>
        <w:t>Nilai koefisien regre</w:t>
      </w:r>
      <w:r>
        <w:t xml:space="preserve">si </w:t>
      </w:r>
      <w:r>
        <w:rPr>
          <w:i/>
          <w:iCs/>
        </w:rPr>
        <w:t>operating profit margin</w:t>
      </w:r>
      <w:r>
        <w:t xml:space="preserve"> adalah -11</w:t>
      </w:r>
      <w:proofErr w:type="gramStart"/>
      <w:r>
        <w:t>,56827</w:t>
      </w:r>
      <w:proofErr w:type="gramEnd"/>
      <w:r>
        <w:t xml:space="preserve">, bernilai negatif. Nilai ini menunjukkan bahwa variabel </w:t>
      </w:r>
      <w:r>
        <w:rPr>
          <w:i/>
          <w:iCs/>
        </w:rPr>
        <w:t>operating profit margin</w:t>
      </w:r>
      <w:r>
        <w:t xml:space="preserve"> berkorelasi negatif dengan perataan laba: setiap kenaikan satu unit </w:t>
      </w:r>
      <w:r>
        <w:rPr>
          <w:i/>
          <w:iCs/>
        </w:rPr>
        <w:t>operating profit margin</w:t>
      </w:r>
      <w:r>
        <w:t xml:space="preserve"> </w:t>
      </w:r>
      <w:proofErr w:type="gramStart"/>
      <w:r>
        <w:t>akan</w:t>
      </w:r>
      <w:proofErr w:type="gramEnd"/>
      <w:r>
        <w:t xml:space="preserve"> menurunkan logaritma peluang terjad</w:t>
      </w:r>
      <w:r>
        <w:t xml:space="preserve">inya perataan laba (Y). Nilai </w:t>
      </w:r>
      <w:r>
        <w:rPr>
          <w:i/>
          <w:iCs/>
        </w:rPr>
        <w:t>p-value</w:t>
      </w:r>
      <w:r>
        <w:t xml:space="preserve"> sebesar 0</w:t>
      </w:r>
      <w:proofErr w:type="gramStart"/>
      <w:r>
        <w:t>,0219</w:t>
      </w:r>
      <w:proofErr w:type="gramEnd"/>
      <w:r>
        <w:t xml:space="preserve"> lebih kecil dari α (0,0219 &lt; 0,05), yang menunjukkan bahwa variabel </w:t>
      </w:r>
      <w:r>
        <w:rPr>
          <w:i/>
          <w:iCs/>
        </w:rPr>
        <w:t>operating profit margin</w:t>
      </w:r>
      <w:r>
        <w:t xml:space="preserve"> berpengaruh signifikan terhadap perataan laba: semakin tinggi </w:t>
      </w:r>
      <w:r>
        <w:rPr>
          <w:i/>
          <w:iCs/>
        </w:rPr>
        <w:t>operating profit margin</w:t>
      </w:r>
      <w:r>
        <w:t>, semakin besar kemungkina</w:t>
      </w:r>
      <w:r>
        <w:t>n perusahaan tidak menerapkan praktik perataan laba.</w:t>
      </w:r>
    </w:p>
    <w:p w:rsidR="007F2C85" w:rsidRDefault="005538B5">
      <w:pPr>
        <w:pStyle w:val="ListParagraph"/>
        <w:numPr>
          <w:ilvl w:val="0"/>
          <w:numId w:val="2"/>
        </w:numPr>
        <w:spacing w:after="200"/>
        <w:jc w:val="both"/>
      </w:pPr>
      <w:r>
        <w:t xml:space="preserve">Nilai koefisien regresi </w:t>
      </w:r>
      <w:r>
        <w:rPr>
          <w:i/>
          <w:iCs/>
        </w:rPr>
        <w:t>cash holding</w:t>
      </w:r>
      <w:r>
        <w:t xml:space="preserve"> adalah sebesar 0,448437, bernilai positif, yang menunjukkan bahwa variabel </w:t>
      </w:r>
      <w:r>
        <w:rPr>
          <w:i/>
          <w:iCs/>
        </w:rPr>
        <w:t>cash holding</w:t>
      </w:r>
      <w:r>
        <w:t xml:space="preserve"> berpengaruh positif terhadap perataan laba: setiap kenaikan satu unit </w:t>
      </w:r>
      <w:r>
        <w:rPr>
          <w:i/>
          <w:iCs/>
        </w:rPr>
        <w:t>cash hol</w:t>
      </w:r>
      <w:r>
        <w:rPr>
          <w:i/>
          <w:iCs/>
        </w:rPr>
        <w:t>ding</w:t>
      </w:r>
      <w:r>
        <w:t xml:space="preserve"> </w:t>
      </w:r>
      <w:proofErr w:type="gramStart"/>
      <w:r>
        <w:t>akan</w:t>
      </w:r>
      <w:proofErr w:type="gramEnd"/>
      <w:r>
        <w:t xml:space="preserve"> menambah logaritma peluang terjadinya perataan laba (Y). Namun, nilai </w:t>
      </w:r>
      <w:r>
        <w:rPr>
          <w:i/>
          <w:iCs/>
        </w:rPr>
        <w:t>p-value</w:t>
      </w:r>
      <w:r>
        <w:t xml:space="preserve"> sebesar 0</w:t>
      </w:r>
      <w:proofErr w:type="gramStart"/>
      <w:r>
        <w:t>,8746</w:t>
      </w:r>
      <w:proofErr w:type="gramEnd"/>
      <w:r>
        <w:t xml:space="preserve"> lebih besar dari α (0,8746 &gt; 0,05), yang menunjukkan bahwa </w:t>
      </w:r>
      <w:r>
        <w:rPr>
          <w:i/>
          <w:iCs/>
        </w:rPr>
        <w:t>cash holding</w:t>
      </w:r>
      <w:r>
        <w:t xml:space="preserve"> yang disimpan oleh perusahaan dalam industri makanan dan minuman tidak memengaruhi peluang mereka untuk menerapkan praktik perataan laba.</w:t>
      </w:r>
    </w:p>
    <w:p w:rsidR="007F2C85" w:rsidRDefault="005538B5">
      <w:pPr>
        <w:spacing w:before="200" w:after="120"/>
      </w:pPr>
      <w:r>
        <w:rPr>
          <w:b/>
          <w:bCs/>
        </w:rPr>
        <w:t>3.2. Pembahasan</w:t>
      </w:r>
    </w:p>
    <w:p w:rsidR="007F2C85" w:rsidRDefault="005538B5">
      <w:pPr>
        <w:spacing w:before="80" w:after="200"/>
        <w:jc w:val="center"/>
      </w:pPr>
      <w:r>
        <w:t>Table 8. Ringkasan Pengaruh Parsial</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400"/>
      </w:tblGrid>
      <w:tr w:rsidR="007F2C85">
        <w:tblPrEx>
          <w:tblCellMar>
            <w:top w:w="0" w:type="dxa"/>
            <w:bottom w:w="0" w:type="dxa"/>
          </w:tblCellMar>
        </w:tblPrEx>
        <w:trPr>
          <w:tblHeader/>
        </w:trPr>
        <w:tc>
          <w:tcPr>
            <w:tcW w:w="2800" w:type="dxa"/>
            <w:shd w:val="clear" w:color="auto" w:fill="D9D9D9"/>
            <w:vAlign w:val="center"/>
          </w:tcPr>
          <w:p w:rsidR="007F2C85" w:rsidRDefault="005538B5">
            <w:pPr>
              <w:jc w:val="center"/>
            </w:pPr>
            <w:r>
              <w:rPr>
                <w:b/>
                <w:bCs/>
                <w:sz w:val="18"/>
                <w:szCs w:val="18"/>
              </w:rPr>
              <w:t>Variabel</w:t>
            </w:r>
          </w:p>
        </w:tc>
        <w:tc>
          <w:tcPr>
            <w:tcW w:w="2800" w:type="dxa"/>
            <w:shd w:val="clear" w:color="auto" w:fill="D9D9D9"/>
            <w:vAlign w:val="center"/>
          </w:tcPr>
          <w:p w:rsidR="007F2C85" w:rsidRDefault="005538B5">
            <w:pPr>
              <w:jc w:val="center"/>
            </w:pPr>
            <w:r>
              <w:rPr>
                <w:b/>
                <w:bCs/>
                <w:sz w:val="18"/>
                <w:szCs w:val="18"/>
              </w:rPr>
              <w:t>Hasil Pengujian</w:t>
            </w:r>
          </w:p>
        </w:tc>
        <w:tc>
          <w:tcPr>
            <w:tcW w:w="2400" w:type="dxa"/>
            <w:shd w:val="clear" w:color="auto" w:fill="D9D9D9"/>
            <w:vAlign w:val="center"/>
          </w:tcPr>
          <w:p w:rsidR="007F2C85" w:rsidRDefault="005538B5">
            <w:pPr>
              <w:jc w:val="center"/>
            </w:pPr>
            <w:r>
              <w:rPr>
                <w:b/>
                <w:bCs/>
                <w:sz w:val="18"/>
                <w:szCs w:val="18"/>
              </w:rPr>
              <w:t>Pengaruh Parsial</w:t>
            </w:r>
          </w:p>
        </w:tc>
      </w:tr>
      <w:tr w:rsidR="007F2C85">
        <w:tblPrEx>
          <w:tblCellMar>
            <w:top w:w="0" w:type="dxa"/>
            <w:bottom w:w="0" w:type="dxa"/>
          </w:tblCellMar>
        </w:tblPrEx>
        <w:tc>
          <w:tcPr>
            <w:tcW w:w="2800" w:type="dxa"/>
            <w:vAlign w:val="center"/>
          </w:tcPr>
          <w:p w:rsidR="007F2C85" w:rsidRDefault="005538B5">
            <w:r>
              <w:rPr>
                <w:sz w:val="18"/>
                <w:szCs w:val="18"/>
              </w:rPr>
              <w:t>Operating Profit Margin</w:t>
            </w:r>
          </w:p>
        </w:tc>
        <w:tc>
          <w:tcPr>
            <w:tcW w:w="2800" w:type="dxa"/>
            <w:vAlign w:val="center"/>
          </w:tcPr>
          <w:p w:rsidR="007F2C85" w:rsidRDefault="005538B5">
            <w:pPr>
              <w:jc w:val="center"/>
            </w:pPr>
            <w:r>
              <w:rPr>
                <w:sz w:val="18"/>
                <w:szCs w:val="18"/>
              </w:rPr>
              <w:t>p-value 0,0219 &lt; 0,05</w:t>
            </w:r>
          </w:p>
        </w:tc>
        <w:tc>
          <w:tcPr>
            <w:tcW w:w="2400" w:type="dxa"/>
            <w:vAlign w:val="center"/>
          </w:tcPr>
          <w:p w:rsidR="007F2C85" w:rsidRDefault="005538B5">
            <w:pPr>
              <w:jc w:val="center"/>
            </w:pPr>
            <w:r>
              <w:rPr>
                <w:sz w:val="18"/>
                <w:szCs w:val="18"/>
              </w:rPr>
              <w:t>Berpengaruh negatif dan signifikan</w:t>
            </w:r>
          </w:p>
        </w:tc>
      </w:tr>
      <w:tr w:rsidR="007F2C85">
        <w:tblPrEx>
          <w:tblCellMar>
            <w:top w:w="0" w:type="dxa"/>
            <w:bottom w:w="0" w:type="dxa"/>
          </w:tblCellMar>
        </w:tblPrEx>
        <w:tc>
          <w:tcPr>
            <w:tcW w:w="2800" w:type="dxa"/>
            <w:vAlign w:val="center"/>
          </w:tcPr>
          <w:p w:rsidR="007F2C85" w:rsidRDefault="005538B5">
            <w:r>
              <w:rPr>
                <w:sz w:val="18"/>
                <w:szCs w:val="18"/>
              </w:rPr>
              <w:t>Cash Holding</w:t>
            </w:r>
          </w:p>
        </w:tc>
        <w:tc>
          <w:tcPr>
            <w:tcW w:w="2800" w:type="dxa"/>
            <w:vAlign w:val="center"/>
          </w:tcPr>
          <w:p w:rsidR="007F2C85" w:rsidRDefault="005538B5">
            <w:pPr>
              <w:jc w:val="center"/>
            </w:pPr>
            <w:r>
              <w:rPr>
                <w:sz w:val="18"/>
                <w:szCs w:val="18"/>
              </w:rPr>
              <w:t>p-value 0,8746 &gt; 0,05</w:t>
            </w:r>
          </w:p>
        </w:tc>
        <w:tc>
          <w:tcPr>
            <w:tcW w:w="2400" w:type="dxa"/>
            <w:vAlign w:val="center"/>
          </w:tcPr>
          <w:p w:rsidR="007F2C85" w:rsidRDefault="005538B5">
            <w:pPr>
              <w:jc w:val="center"/>
            </w:pPr>
            <w:r>
              <w:rPr>
                <w:sz w:val="18"/>
                <w:szCs w:val="18"/>
              </w:rPr>
              <w:t>Tidak berpengaruh signifikan</w:t>
            </w:r>
          </w:p>
        </w:tc>
      </w:tr>
    </w:tbl>
    <w:p w:rsidR="007F2C85" w:rsidRDefault="005538B5">
      <w:pPr>
        <w:spacing w:before="60" w:after="120"/>
      </w:pPr>
      <w:r>
        <w:rPr>
          <w:i/>
          <w:iCs/>
          <w:sz w:val="18"/>
          <w:szCs w:val="18"/>
        </w:rPr>
        <w:t>Sumber: Data diolah dengan Eviews13 (2026)</w:t>
      </w:r>
    </w:p>
    <w:p w:rsidR="007F2C85" w:rsidRDefault="005538B5">
      <w:pPr>
        <w:spacing w:before="160" w:after="100"/>
      </w:pPr>
      <w:r>
        <w:rPr>
          <w:b/>
          <w:bCs/>
          <w:i/>
          <w:iCs/>
        </w:rPr>
        <w:t>3.2.1. Pengaruh Operating Profit Margin secara Parsial terhadap Perataan Laba</w:t>
      </w:r>
    </w:p>
    <w:p w:rsidR="007F2C85" w:rsidRDefault="005538B5">
      <w:pPr>
        <w:spacing w:after="120"/>
        <w:ind w:firstLine="425"/>
        <w:jc w:val="both"/>
      </w:pPr>
      <w:r>
        <w:rPr>
          <w:i/>
          <w:iCs/>
        </w:rPr>
        <w:t>Operating profit margin</w:t>
      </w:r>
      <w:r>
        <w:t xml:space="preserve"> memengaruhi perataan laba secara signifikan, sebagaimana ditunjukkan pada Tabel 8, dengan nilai p-value (0</w:t>
      </w:r>
      <w:proofErr w:type="gramStart"/>
      <w:r>
        <w:t>,0219</w:t>
      </w:r>
      <w:proofErr w:type="gramEnd"/>
      <w:r>
        <w:t>) &lt; α (0,05), yang menunjukkan bahwa hipote</w:t>
      </w:r>
      <w:r>
        <w:t xml:space="preserve">sis Ho1 ditolak dan hipotesis Ha1 diterima. Studi ini menunjukkan bahwa tinggi rendahnya </w:t>
      </w:r>
      <w:r>
        <w:rPr>
          <w:i/>
          <w:iCs/>
        </w:rPr>
        <w:t>operating profit margin</w:t>
      </w:r>
      <w:r>
        <w:t xml:space="preserve"> menjadi faktor dalam menentukan perataan laba. </w:t>
      </w:r>
      <w:r>
        <w:rPr>
          <w:i/>
          <w:iCs/>
        </w:rPr>
        <w:t>Operating profit margin</w:t>
      </w:r>
      <w:r>
        <w:t xml:space="preserve"> mencerminkan hasil laba operasional suatu perusahaan. Perusahaan dengan </w:t>
      </w:r>
      <w:r>
        <w:rPr>
          <w:i/>
          <w:iCs/>
        </w:rPr>
        <w:t>operating profit margin</w:t>
      </w:r>
      <w:r>
        <w:t xml:space="preserve"> yang tinggi cenderung tidak melakukan perataan laba karena laba yang dimiliki perusahaan sudah tinggi sehingga mampu mengurangi masalah keagenan [15]. Sesuai dengan teori agensi, laba yang tinggi menunjukkan kinerja manajemen yang b</w:t>
      </w:r>
      <w:r>
        <w:t>aik dalam mengelola aset pemilik, sehingga tidak ada urgensi bagi manajer untuk melakukan manipulasi atau perataan laba demi mengamankan kompensasi atau posisi mereka [10]. Hal ini karena setiap keuntungan yang diperoleh dari kegiatan operasional bisnis da</w:t>
      </w:r>
      <w:r>
        <w:t>pat digunakan sebagai sarana untuk menunjukkan kepada investor bahwa bisnis tersebut masih menghasilkan keuntungan tanpa perlu melakukan tindakan manajemen laba.</w:t>
      </w:r>
    </w:p>
    <w:p w:rsidR="007F2C85" w:rsidRDefault="005538B5">
      <w:pPr>
        <w:spacing w:after="120"/>
        <w:ind w:firstLine="425"/>
        <w:jc w:val="both"/>
      </w:pPr>
      <w:r>
        <w:lastRenderedPageBreak/>
        <w:t>Hasil ini bertolak belakang dengan penelitian yang dilakukan oleh Muhammad Muslih [7] yang men</w:t>
      </w:r>
      <w:r>
        <w:t xml:space="preserve">yatakan bahwa </w:t>
      </w:r>
      <w:r>
        <w:rPr>
          <w:i/>
          <w:iCs/>
        </w:rPr>
        <w:t>operating profit margin</w:t>
      </w:r>
      <w:r>
        <w:t xml:space="preserve"> tidak berpengaruh secara signifikan terhadap perataan laba. Perbedaan hasil ini dapat disebabkan oleh variasi karakteristik sampel, seperti perbedaan sektor industri, tingkat kompleksitas perusahaan, maupun skala usaha</w:t>
      </w:r>
      <w:r>
        <w:t xml:space="preserve"> yang relatif homogen sehingga variasi ukuran perusahaan tidak cukup kuat dalam menjelaskannya. Selain itu, perbedaan periode penelitian dan kondisi regulasi objek penelitian juga berpotensi memengaruhi hasil, terutama apabila pada periode tertentu seluruh</w:t>
      </w:r>
      <w:r>
        <w:t xml:space="preserve"> perusahaan mengalami tekanan biaya yang besar.</w:t>
      </w:r>
    </w:p>
    <w:p w:rsidR="007F2C85" w:rsidRDefault="005538B5">
      <w:pPr>
        <w:spacing w:after="120"/>
        <w:ind w:firstLine="425"/>
        <w:jc w:val="both"/>
      </w:pPr>
      <w:r>
        <w:t>Nilai koefisien regresi yang negatif sebesar -11</w:t>
      </w:r>
      <w:proofErr w:type="gramStart"/>
      <w:r>
        <w:t>,56827</w:t>
      </w:r>
      <w:proofErr w:type="gramEnd"/>
      <w:r>
        <w:t xml:space="preserve"> menunjukkan bahwa variabel </w:t>
      </w:r>
      <w:r>
        <w:rPr>
          <w:i/>
          <w:iCs/>
        </w:rPr>
        <w:t>operating profit margin</w:t>
      </w:r>
      <w:r>
        <w:t xml:space="preserve"> memiliki arah pengaruh yang negatif terhadap perataan laba. Setiap kenaikan satu unit </w:t>
      </w:r>
      <w:r>
        <w:rPr>
          <w:i/>
          <w:iCs/>
        </w:rPr>
        <w:t>operating profit</w:t>
      </w:r>
      <w:r>
        <w:rPr>
          <w:i/>
          <w:iCs/>
        </w:rPr>
        <w:t xml:space="preserve"> margin</w:t>
      </w:r>
      <w:r>
        <w:t xml:space="preserve"> </w:t>
      </w:r>
      <w:proofErr w:type="gramStart"/>
      <w:r>
        <w:t>akan</w:t>
      </w:r>
      <w:proofErr w:type="gramEnd"/>
      <w:r>
        <w:t xml:space="preserve"> menurunkan logaritma peluang terjadinya perataan laba. Hal ini karena setiap laba yang dihasilkan dari kegiatan operasional perusahaan dapat dijadikan sebagai alat untuk menunjukkan kepada investor bahwa perusahaan tersebut masih mampu menghas</w:t>
      </w:r>
      <w:r>
        <w:t>ilkan laba tanpa harus melakukan tindakan manajemen laba.</w:t>
      </w:r>
    </w:p>
    <w:p w:rsidR="007F2C85" w:rsidRDefault="005538B5">
      <w:pPr>
        <w:spacing w:before="160" w:after="100"/>
      </w:pPr>
      <w:r>
        <w:rPr>
          <w:b/>
          <w:bCs/>
          <w:i/>
          <w:iCs/>
        </w:rPr>
        <w:t>3.2.2. Pengaruh Cash Holding secara Parsial terhadap Perataan Laba</w:t>
      </w:r>
    </w:p>
    <w:p w:rsidR="007F2C85" w:rsidRDefault="005538B5">
      <w:pPr>
        <w:spacing w:after="120"/>
        <w:ind w:firstLine="425"/>
        <w:jc w:val="both"/>
      </w:pPr>
      <w:r>
        <w:t xml:space="preserve">Hasil penelitian pada Tabel 8 menunjukkan bahwa variabel </w:t>
      </w:r>
      <w:r>
        <w:rPr>
          <w:i/>
          <w:iCs/>
        </w:rPr>
        <w:t>cash holding</w:t>
      </w:r>
      <w:r>
        <w:t xml:space="preserve"> tidak berpengaruh secara signifikan terhadap perataan laba. H</w:t>
      </w:r>
      <w:r>
        <w:t xml:space="preserve">al ini terlihat dari nilai </w:t>
      </w:r>
      <w:r>
        <w:rPr>
          <w:i/>
          <w:iCs/>
        </w:rPr>
        <w:t>p-value</w:t>
      </w:r>
      <w:r>
        <w:t xml:space="preserve"> sebesar 0</w:t>
      </w:r>
      <w:proofErr w:type="gramStart"/>
      <w:r>
        <w:t>,8746</w:t>
      </w:r>
      <w:proofErr w:type="gramEnd"/>
      <w:r>
        <w:t xml:space="preserve">, yang lebih besar dari 0,05. Dengan demikian, hipotesis Ho2 diterima dan hipotesis Ha2 ditolak. Penelitian ini juga menjelaskan bahwa naik atau turunnya </w:t>
      </w:r>
      <w:r>
        <w:rPr>
          <w:i/>
          <w:iCs/>
        </w:rPr>
        <w:t>cash holding</w:t>
      </w:r>
      <w:r>
        <w:t xml:space="preserve"> tidak menjadi faktor penentu peluang perusahaan dalam melakukan praktik perataan laba. Hal ini disebabkan oleh fakta bahwa perusahaan tidak memiliki jumlah </w:t>
      </w:r>
      <w:r>
        <w:rPr>
          <w:i/>
          <w:iCs/>
        </w:rPr>
        <w:t>cash holding</w:t>
      </w:r>
      <w:r>
        <w:t xml:space="preserve"> yang cukup untuk melakukan perataan laba, serta aliran kas bebas yang relatif kecil di</w:t>
      </w:r>
      <w:r>
        <w:t xml:space="preserve"> Indonesia. Akibatnya, ketika perusahaan tidak dapat membayar dividen atau mendanai investasi untuk proyek baru, perusahaan cenderung mengakumulasi kas atau bahkan menggunakan utang untuk mendapatkan pendanaan. Hal ini sejalan dengan studi yang dilakukan o</w:t>
      </w:r>
      <w:r>
        <w:t xml:space="preserve">leh Rahma Sari dan Deni Darmawati [12] yang juga menemukan bahwa </w:t>
      </w:r>
      <w:r>
        <w:rPr>
          <w:i/>
          <w:iCs/>
        </w:rPr>
        <w:t>cash holding</w:t>
      </w:r>
      <w:r>
        <w:t xml:space="preserve"> tidak berpengaruh signifikan terhadap perataan laba. Namun, hasil penelitian ini bertolak belakang dengan penelitian yang dilakukan oleh Viktoria Angreini dan Ida Nurhayati [16] </w:t>
      </w:r>
      <w:r>
        <w:t xml:space="preserve">yang menemukan bahwa </w:t>
      </w:r>
      <w:r>
        <w:rPr>
          <w:i/>
          <w:iCs/>
        </w:rPr>
        <w:t>cash holding</w:t>
      </w:r>
      <w:r>
        <w:t xml:space="preserve"> berpengaruh terhadap perataan laba.</w:t>
      </w:r>
    </w:p>
    <w:p w:rsidR="007F2C85" w:rsidRDefault="005538B5">
      <w:pPr>
        <w:spacing w:after="120"/>
        <w:ind w:firstLine="425"/>
        <w:jc w:val="both"/>
      </w:pPr>
      <w:r>
        <w:t xml:space="preserve">Terdapat kemungkinan bahwa variabel </w:t>
      </w:r>
      <w:r>
        <w:rPr>
          <w:i/>
          <w:iCs/>
        </w:rPr>
        <w:t>cash holding</w:t>
      </w:r>
      <w:r>
        <w:t xml:space="preserve"> berpengaruh positif terhadap perataan laba, karena koefisien regresi menunjukkan hasil positif sebesar 0,448437. Jika nilainya positif, m</w:t>
      </w:r>
      <w:r>
        <w:t xml:space="preserve">aka setiap kenaikan satu unit pada variabel </w:t>
      </w:r>
      <w:r>
        <w:rPr>
          <w:i/>
          <w:iCs/>
        </w:rPr>
        <w:t>cash holding</w:t>
      </w:r>
      <w:r>
        <w:t xml:space="preserve"> </w:t>
      </w:r>
      <w:proofErr w:type="gramStart"/>
      <w:r>
        <w:t>akan</w:t>
      </w:r>
      <w:proofErr w:type="gramEnd"/>
      <w:r>
        <w:t xml:space="preserve"> meningkatkan logaritma peluang terjadinya perataan laba. Hal ini disebabkan oleh fakta bahwa kepemilikan uang tunai yang mudah dipindahtangankan memungkinkan kas untuk disembunyikan dan digunaka</w:t>
      </w:r>
      <w:r>
        <w:t>n untuk tujuan yang tidak selalu terkait dengan perataan laba.</w:t>
      </w:r>
    </w:p>
    <w:p w:rsidR="007F2C85" w:rsidRDefault="005538B5">
      <w:pPr>
        <w:spacing w:before="160" w:after="100"/>
      </w:pPr>
      <w:r>
        <w:rPr>
          <w:b/>
          <w:bCs/>
          <w:i/>
          <w:iCs/>
        </w:rPr>
        <w:t>3.2.3. Pengaruh Operating Profit Margin dan Cash Holding secara Simultan terhadap Perataan Laba</w:t>
      </w:r>
    </w:p>
    <w:p w:rsidR="007F2C85" w:rsidRDefault="005538B5">
      <w:pPr>
        <w:spacing w:before="80" w:after="200"/>
        <w:jc w:val="center"/>
      </w:pPr>
      <w:r>
        <w:t>Table 9. Hasil Pengujian Simultan</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3500"/>
      </w:tblGrid>
      <w:tr w:rsidR="007F2C85">
        <w:tblPrEx>
          <w:tblCellMar>
            <w:top w:w="0" w:type="dxa"/>
            <w:bottom w:w="0" w:type="dxa"/>
          </w:tblCellMar>
        </w:tblPrEx>
        <w:trPr>
          <w:tblHeader/>
        </w:trPr>
        <w:tc>
          <w:tcPr>
            <w:tcW w:w="4500" w:type="dxa"/>
            <w:shd w:val="clear" w:color="auto" w:fill="D9D9D9"/>
            <w:vAlign w:val="center"/>
          </w:tcPr>
          <w:p w:rsidR="007F2C85" w:rsidRDefault="005538B5">
            <w:pPr>
              <w:jc w:val="center"/>
            </w:pPr>
            <w:r>
              <w:rPr>
                <w:b/>
                <w:bCs/>
                <w:sz w:val="18"/>
                <w:szCs w:val="18"/>
              </w:rPr>
              <w:t>Hasil Pengujian</w:t>
            </w:r>
          </w:p>
        </w:tc>
        <w:tc>
          <w:tcPr>
            <w:tcW w:w="3500" w:type="dxa"/>
            <w:shd w:val="clear" w:color="auto" w:fill="D9D9D9"/>
            <w:vAlign w:val="center"/>
          </w:tcPr>
          <w:p w:rsidR="007F2C85" w:rsidRDefault="005538B5">
            <w:pPr>
              <w:jc w:val="center"/>
            </w:pPr>
            <w:r>
              <w:rPr>
                <w:b/>
                <w:bCs/>
                <w:sz w:val="18"/>
                <w:szCs w:val="18"/>
              </w:rPr>
              <w:t>Pengaruh Simultan</w:t>
            </w:r>
          </w:p>
        </w:tc>
      </w:tr>
      <w:tr w:rsidR="007F2C85">
        <w:tblPrEx>
          <w:tblCellMar>
            <w:top w:w="0" w:type="dxa"/>
            <w:bottom w:w="0" w:type="dxa"/>
          </w:tblCellMar>
        </w:tblPrEx>
        <w:tc>
          <w:tcPr>
            <w:tcW w:w="4500" w:type="dxa"/>
            <w:vAlign w:val="center"/>
          </w:tcPr>
          <w:p w:rsidR="007F2C85" w:rsidRDefault="005538B5">
            <w:r>
              <w:rPr>
                <w:sz w:val="18"/>
                <w:szCs w:val="18"/>
              </w:rPr>
              <w:t>Prob (LR-Statistic) 0,049109 &lt; 0,05</w:t>
            </w:r>
          </w:p>
        </w:tc>
        <w:tc>
          <w:tcPr>
            <w:tcW w:w="3500" w:type="dxa"/>
            <w:vAlign w:val="center"/>
          </w:tcPr>
          <w:p w:rsidR="007F2C85" w:rsidRDefault="005538B5">
            <w:pPr>
              <w:jc w:val="center"/>
            </w:pPr>
            <w:r>
              <w:rPr>
                <w:sz w:val="18"/>
                <w:szCs w:val="18"/>
              </w:rPr>
              <w:t>Berpengaruh secara simultan</w:t>
            </w:r>
          </w:p>
        </w:tc>
      </w:tr>
    </w:tbl>
    <w:p w:rsidR="007F2C85" w:rsidRDefault="005538B5">
      <w:pPr>
        <w:spacing w:before="60" w:after="120"/>
      </w:pPr>
      <w:r>
        <w:rPr>
          <w:i/>
          <w:iCs/>
          <w:sz w:val="18"/>
          <w:szCs w:val="18"/>
        </w:rPr>
        <w:t>Sumber: Data diolah dengan Eviews13 (2026)</w:t>
      </w:r>
    </w:p>
    <w:p w:rsidR="007F2C85" w:rsidRDefault="005538B5">
      <w:pPr>
        <w:spacing w:after="120"/>
        <w:ind w:firstLine="425"/>
        <w:jc w:val="both"/>
      </w:pPr>
      <w:r>
        <w:t xml:space="preserve">Sesuai dengan hasil analisis data dan pengujian hipotesis, diketahui bahwa nilai </w:t>
      </w:r>
      <w:r>
        <w:rPr>
          <w:i/>
          <w:iCs/>
        </w:rPr>
        <w:t>LR-Statistic</w:t>
      </w:r>
      <w:r>
        <w:t xml:space="preserve"> sebesar 6,027444 lebih besar dari nilai </w:t>
      </w:r>
      <w:r>
        <w:rPr>
          <w:i/>
          <w:iCs/>
        </w:rPr>
        <w:t>chi-square table</w:t>
      </w:r>
      <w:r>
        <w:t xml:space="preserve"> dengan df 2 sebesar 5,991465 (6</w:t>
      </w:r>
      <w:proofErr w:type="gramStart"/>
      <w:r>
        <w:t>,027444</w:t>
      </w:r>
      <w:proofErr w:type="gramEnd"/>
      <w:r>
        <w:t xml:space="preserve"> &gt; 5,991465), dan nilai Prob (LR-Statistic) sebesar 0,049109 lebih kecil dari α (0,04 &lt; 0,05). Hasil ini menunjukkan bahwa H02 ditolak dan Ha2 diterima, yang berarti </w:t>
      </w:r>
      <w:r>
        <w:rPr>
          <w:i/>
          <w:iCs/>
        </w:rPr>
        <w:t>operating profit margin</w:t>
      </w:r>
      <w:r>
        <w:t xml:space="preserve"> dan </w:t>
      </w:r>
      <w:r>
        <w:rPr>
          <w:i/>
          <w:iCs/>
        </w:rPr>
        <w:t>cash ho</w:t>
      </w:r>
      <w:r>
        <w:rPr>
          <w:i/>
          <w:iCs/>
        </w:rPr>
        <w:t>lding</w:t>
      </w:r>
      <w:r>
        <w:t xml:space="preserve"> secara simultan berpengaruh signifikan terhadap perataan laba pada perusahaan manufaktur subsektor makanan dan minuman yang terdaftar di Indeks Saham Syariah Indonesia (ISSI).</w:t>
      </w:r>
    </w:p>
    <w:p w:rsidR="007F2C85" w:rsidRDefault="005538B5">
      <w:pPr>
        <w:spacing w:after="120"/>
        <w:ind w:firstLine="425"/>
        <w:jc w:val="both"/>
      </w:pPr>
      <w:r>
        <w:t xml:space="preserve">Hasil uji </w:t>
      </w:r>
      <w:r>
        <w:rPr>
          <w:i/>
          <w:iCs/>
        </w:rPr>
        <w:t>McFadden R-square</w:t>
      </w:r>
      <w:r>
        <w:t xml:space="preserve"> menggunakan </w:t>
      </w:r>
      <w:r>
        <w:rPr>
          <w:i/>
          <w:iCs/>
        </w:rPr>
        <w:t>software Eviews13</w:t>
      </w:r>
      <w:r>
        <w:t xml:space="preserve"> menunjukkan nila</w:t>
      </w:r>
      <w:r>
        <w:t xml:space="preserve">i sebesar 0,168263. Hasil ini menunjukkan bahwa </w:t>
      </w:r>
      <w:r>
        <w:rPr>
          <w:i/>
          <w:iCs/>
        </w:rPr>
        <w:t>operating profit margin</w:t>
      </w:r>
      <w:r>
        <w:t xml:space="preserve"> dan </w:t>
      </w:r>
      <w:r>
        <w:rPr>
          <w:i/>
          <w:iCs/>
        </w:rPr>
        <w:t>cash holding</w:t>
      </w:r>
      <w:r>
        <w:t xml:space="preserve"> secara bersama-sama mampu menjelaskan variabel dependen perataan laba sebesar 16,82%, sedangkan sisanya sebesar 83,18% dijelaskan oleh variabel lain di luar model. Nil</w:t>
      </w:r>
      <w:r>
        <w:t>ai 16</w:t>
      </w:r>
      <w:proofErr w:type="gramStart"/>
      <w:r>
        <w:t>,82</w:t>
      </w:r>
      <w:proofErr w:type="gramEnd"/>
      <w:r>
        <w:t>% ini menunjukkan tingkat hubungan yang tergolong rendah antara kedua variabel independen tersebut dengan variabel dependen perataan laba.</w:t>
      </w:r>
    </w:p>
    <w:p w:rsidR="007F2C85" w:rsidRDefault="005538B5">
      <w:pPr>
        <w:spacing w:before="240" w:after="120"/>
      </w:pPr>
      <w:r>
        <w:rPr>
          <w:b/>
          <w:bCs/>
        </w:rPr>
        <w:t>4. KESIMPULAN</w:t>
      </w:r>
    </w:p>
    <w:p w:rsidR="007F2C85" w:rsidRDefault="005538B5">
      <w:pPr>
        <w:spacing w:after="120"/>
        <w:ind w:firstLine="425"/>
        <w:jc w:val="both"/>
      </w:pPr>
      <w:r>
        <w:t>Berdasarkan hasil analisis dan pembahasan, dapat disimpulkan hal-hal berikut.</w:t>
      </w:r>
    </w:p>
    <w:p w:rsidR="007F2C85" w:rsidRDefault="005538B5">
      <w:pPr>
        <w:pStyle w:val="ListParagraph"/>
        <w:numPr>
          <w:ilvl w:val="0"/>
          <w:numId w:val="3"/>
        </w:numPr>
        <w:spacing w:after="100"/>
        <w:jc w:val="both"/>
      </w:pPr>
      <w:r>
        <w:rPr>
          <w:i/>
          <w:iCs/>
        </w:rPr>
        <w:t xml:space="preserve">Operating Profit </w:t>
      </w:r>
      <w:r>
        <w:rPr>
          <w:i/>
          <w:iCs/>
        </w:rPr>
        <w:t>Margin</w:t>
      </w:r>
      <w:r>
        <w:t xml:space="preserve"> berdampak negatif dan signifikan terhadap perataan laba pada perusahaan manufaktur subsektor makanan dan minuman yang terdaftar di Indeks Saham Syariah Indonesia periode 2021-2024. Hal ini menunjukkan bahwa semakin tinggi profitabilitas perusahaan, </w:t>
      </w:r>
      <w:r>
        <w:t>semakin rendah kecenderungan perusahaan untuk menerapkan praktik perataan laba.</w:t>
      </w:r>
    </w:p>
    <w:p w:rsidR="007F2C85" w:rsidRDefault="005538B5">
      <w:pPr>
        <w:pStyle w:val="ListParagraph"/>
        <w:numPr>
          <w:ilvl w:val="0"/>
          <w:numId w:val="3"/>
        </w:numPr>
        <w:spacing w:after="100"/>
        <w:jc w:val="both"/>
      </w:pPr>
      <w:r>
        <w:t xml:space="preserve">Selama periode 2021-2024, </w:t>
      </w:r>
      <w:r>
        <w:rPr>
          <w:i/>
          <w:iCs/>
        </w:rPr>
        <w:t>Cash Holding</w:t>
      </w:r>
      <w:r>
        <w:t xml:space="preserve"> berdampak positif namun tidak signifikan terhadap perataan laba pada perusahaan manufaktur subsektor makanan dan minuman yang terdaftar di Indeks Saham Syariah Indonesia. Dengan kata lain, jumlah kas yang dimiliki perusahaan tidak memiliki pengaruh yang s</w:t>
      </w:r>
      <w:r>
        <w:t>ignifikan terhadap praktik perataan laba.</w:t>
      </w:r>
    </w:p>
    <w:p w:rsidR="007F2C85" w:rsidRDefault="005538B5">
      <w:pPr>
        <w:pStyle w:val="ListParagraph"/>
        <w:numPr>
          <w:ilvl w:val="0"/>
          <w:numId w:val="3"/>
        </w:numPr>
        <w:spacing w:after="200"/>
        <w:jc w:val="both"/>
      </w:pPr>
      <w:r>
        <w:lastRenderedPageBreak/>
        <w:t xml:space="preserve">Selama periode 2021-2024, perataan laba pada perusahaan manufaktur subsektor makanan dan minuman yang terdaftar di Indeks Saham Syariah Indonesia dipengaruhi oleh </w:t>
      </w:r>
      <w:r>
        <w:rPr>
          <w:i/>
          <w:iCs/>
        </w:rPr>
        <w:t>Operating Profit Margin</w:t>
      </w:r>
      <w:r>
        <w:t xml:space="preserve"> dan </w:t>
      </w:r>
      <w:r>
        <w:rPr>
          <w:i/>
          <w:iCs/>
        </w:rPr>
        <w:t>Cash Holding</w:t>
      </w:r>
      <w:r>
        <w:t xml:space="preserve"> secara sim</w:t>
      </w:r>
      <w:r>
        <w:t>ultan. Namun demikian, terdapat faktor lain di luar kedua variabel tersebut yang lebih dominan memengaruhi praktik perataan laba, mengingat kemampuan kedua variabel dalam menjelaskan perataan laba tergolong rendah, yaitu sebesar 16</w:t>
      </w:r>
      <w:proofErr w:type="gramStart"/>
      <w:r>
        <w:t>,82</w:t>
      </w:r>
      <w:proofErr w:type="gramEnd"/>
      <w:r>
        <w:t>%.</w:t>
      </w:r>
    </w:p>
    <w:p w:rsidR="007F2C85" w:rsidRDefault="005538B5">
      <w:pPr>
        <w:spacing w:before="200" w:after="120"/>
      </w:pPr>
      <w:r>
        <w:rPr>
          <w:b/>
          <w:bCs/>
        </w:rPr>
        <w:t>REFERENSI</w:t>
      </w:r>
    </w:p>
    <w:p w:rsidR="007F2C85" w:rsidRDefault="005538B5">
      <w:pPr>
        <w:spacing w:after="80"/>
        <w:ind w:left="340" w:hanging="340"/>
        <w:jc w:val="both"/>
      </w:pPr>
      <w:r>
        <w:rPr>
          <w:sz w:val="16"/>
          <w:szCs w:val="16"/>
        </w:rPr>
        <w:t>[1] C. C. Santoso and J. Handoko,</w:t>
      </w:r>
      <w:r>
        <w:rPr>
          <w:sz w:val="16"/>
          <w:szCs w:val="16"/>
        </w:rPr>
        <w:t xml:space="preserve"> "Pengaruh Investment Opportunity Set, Persistensi Laba, Struktur Modal terhadap Kualitas Laba," Equilibrium: J. Ekon. Manaj. </w:t>
      </w:r>
      <w:proofErr w:type="gramStart"/>
      <w:r>
        <w:rPr>
          <w:sz w:val="16"/>
          <w:szCs w:val="16"/>
        </w:rPr>
        <w:t>Akunt.,</w:t>
      </w:r>
      <w:proofErr w:type="gramEnd"/>
      <w:r>
        <w:rPr>
          <w:sz w:val="16"/>
          <w:szCs w:val="16"/>
        </w:rPr>
        <w:t xml:space="preserve"> vol. 18, no. 2, pp. 91-105, 2022.</w:t>
      </w:r>
    </w:p>
    <w:p w:rsidR="007F2C85" w:rsidRDefault="005538B5">
      <w:pPr>
        <w:spacing w:after="80"/>
        <w:ind w:left="340" w:hanging="340"/>
        <w:jc w:val="both"/>
      </w:pPr>
      <w:r>
        <w:rPr>
          <w:sz w:val="16"/>
          <w:szCs w:val="16"/>
        </w:rPr>
        <w:t xml:space="preserve">[2] </w:t>
      </w:r>
      <w:r>
        <w:rPr>
          <w:sz w:val="16"/>
          <w:szCs w:val="16"/>
        </w:rPr>
        <w:t xml:space="preserve">L. Hartati, S. </w:t>
      </w:r>
      <w:proofErr w:type="gramStart"/>
      <w:r>
        <w:rPr>
          <w:sz w:val="16"/>
          <w:szCs w:val="16"/>
        </w:rPr>
        <w:t>Sos</w:t>
      </w:r>
      <w:proofErr w:type="gramEnd"/>
      <w:r>
        <w:rPr>
          <w:sz w:val="16"/>
          <w:szCs w:val="16"/>
        </w:rPr>
        <w:t>, and C. R. P. MM, Manajemen Keuangan Nilai Perusahaan dengan Mediasi Manajemen Laba. Selat Media, 2024.</w:t>
      </w:r>
    </w:p>
    <w:p w:rsidR="007F2C85" w:rsidRDefault="005538B5">
      <w:pPr>
        <w:spacing w:after="80"/>
        <w:ind w:left="340" w:hanging="340"/>
        <w:jc w:val="both"/>
      </w:pPr>
      <w:r>
        <w:rPr>
          <w:sz w:val="16"/>
          <w:szCs w:val="16"/>
        </w:rPr>
        <w:t xml:space="preserve">[3] N. Toni, CIMBA MM, E. N. Simorangkir, S. E. H. Kosasih, and M. Ak, Praktik Perataan Laba (Income Smoothing) Perusahaan: Strategi </w:t>
      </w:r>
      <w:r>
        <w:rPr>
          <w:sz w:val="16"/>
          <w:szCs w:val="16"/>
        </w:rPr>
        <w:t>Peningkatan Profitabilitas, Financial Leverage, dan Kebijakan Dividen bagi Perusahaan. Penerbit Adab, 2021.</w:t>
      </w:r>
    </w:p>
    <w:p w:rsidR="007F2C85" w:rsidRDefault="005538B5">
      <w:pPr>
        <w:spacing w:after="80"/>
        <w:ind w:left="340" w:hanging="340"/>
        <w:jc w:val="both"/>
      </w:pPr>
      <w:r>
        <w:rPr>
          <w:sz w:val="16"/>
          <w:szCs w:val="16"/>
        </w:rPr>
        <w:t>[4] CNBC Indonesia, "Grafik Indeks Harga Saham Gabungan (IHSG)," www.cnbcindonesia.com. [Online]. Available: http://www.cnbcindonesia.com</w:t>
      </w:r>
    </w:p>
    <w:p w:rsidR="007F2C85" w:rsidRDefault="005538B5">
      <w:pPr>
        <w:spacing w:after="80"/>
        <w:ind w:left="340" w:hanging="340"/>
        <w:jc w:val="both"/>
      </w:pPr>
      <w:r>
        <w:rPr>
          <w:sz w:val="16"/>
          <w:szCs w:val="16"/>
        </w:rPr>
        <w:t>[5] N. Haf</w:t>
      </w:r>
      <w:r>
        <w:rPr>
          <w:sz w:val="16"/>
          <w:szCs w:val="16"/>
        </w:rPr>
        <w:t xml:space="preserve">ifa, S. Maisaroh, P. N. Umaira, and W. Pangestoeti, "Dampak Penurunan IHSG terhadap Stabilitas Ekonomi Publik Indonesia: Analisis Penyebab, Implikasi, dan Strategi Kebijakan," Socius: J. Penelit. Ilmu-Ilmu </w:t>
      </w:r>
      <w:proofErr w:type="gramStart"/>
      <w:r>
        <w:rPr>
          <w:sz w:val="16"/>
          <w:szCs w:val="16"/>
        </w:rPr>
        <w:t>Sos.,</w:t>
      </w:r>
      <w:proofErr w:type="gramEnd"/>
      <w:r>
        <w:rPr>
          <w:sz w:val="16"/>
          <w:szCs w:val="16"/>
        </w:rPr>
        <w:t xml:space="preserve"> vol. 2, no. 12, 2025.</w:t>
      </w:r>
    </w:p>
    <w:p w:rsidR="007F2C85" w:rsidRDefault="005538B5">
      <w:pPr>
        <w:spacing w:after="80"/>
        <w:ind w:left="340" w:hanging="340"/>
        <w:jc w:val="both"/>
      </w:pPr>
      <w:r>
        <w:rPr>
          <w:sz w:val="16"/>
          <w:szCs w:val="16"/>
        </w:rPr>
        <w:t>[6] W. Djulianto and V</w:t>
      </w:r>
      <w:r>
        <w:rPr>
          <w:sz w:val="16"/>
          <w:szCs w:val="16"/>
        </w:rPr>
        <w:t>. Nugroho, "Pengaruh Ketidakpastian Ekonomi terhadap Hutang Perusahaan di Indonesia," DeReMa (Development Research of Management): J. Manaj., vol. 17, no. 2, p. 242, 2022, doi: 10.19166/derema.v17i2.5888.</w:t>
      </w:r>
    </w:p>
    <w:p w:rsidR="007F2C85" w:rsidRDefault="005538B5">
      <w:pPr>
        <w:spacing w:after="80"/>
        <w:ind w:left="340" w:hanging="340"/>
        <w:jc w:val="both"/>
      </w:pPr>
      <w:r>
        <w:rPr>
          <w:sz w:val="16"/>
          <w:szCs w:val="16"/>
        </w:rPr>
        <w:t>[7] M. Muslih, "Pengaruh Operating Profit Margin, C</w:t>
      </w:r>
      <w:r>
        <w:rPr>
          <w:sz w:val="16"/>
          <w:szCs w:val="16"/>
        </w:rPr>
        <w:t>ash Holding, Bonus Plan, dan Income Tax terhadap Perataan Laba," J. Ilmiah Akunt., 2020.</w:t>
      </w:r>
    </w:p>
    <w:p w:rsidR="007F2C85" w:rsidRDefault="005538B5">
      <w:pPr>
        <w:spacing w:after="80"/>
        <w:ind w:left="340" w:hanging="340"/>
        <w:jc w:val="both"/>
      </w:pPr>
      <w:r>
        <w:rPr>
          <w:sz w:val="16"/>
          <w:szCs w:val="16"/>
        </w:rPr>
        <w:t>[8] I. Vikkatrisakti and A. N. Rahmi, "Pengaruh Bonus Plan dan Loan Loss Provision terhadap Perataan Laba: Studi Empiris pada Perusahaan Sektor Perbankan yang Terdafta</w:t>
      </w:r>
      <w:r>
        <w:rPr>
          <w:sz w:val="16"/>
          <w:szCs w:val="16"/>
        </w:rPr>
        <w:t>r di BEI Tahun 2014-2019," J. Keuangan Perbankan, vol. 17, no. 2, pp. 111-124, 2021.</w:t>
      </w:r>
    </w:p>
    <w:p w:rsidR="007F2C85" w:rsidRDefault="005538B5">
      <w:pPr>
        <w:spacing w:after="80"/>
        <w:ind w:left="340" w:hanging="340"/>
        <w:jc w:val="both"/>
      </w:pPr>
      <w:r>
        <w:rPr>
          <w:sz w:val="16"/>
          <w:szCs w:val="16"/>
        </w:rPr>
        <w:t>[9] J. B. Digital, "Pengaruh Net Profit Margin (NPM) dan Operating Profit Margin (OPM) terhadap Pertumbuhan Laba," vol. 2, pp. 99-112, 2024.</w:t>
      </w:r>
    </w:p>
    <w:p w:rsidR="007F2C85" w:rsidRDefault="005538B5">
      <w:pPr>
        <w:spacing w:after="80"/>
        <w:ind w:left="340" w:hanging="340"/>
        <w:jc w:val="both"/>
      </w:pPr>
      <w:r>
        <w:rPr>
          <w:sz w:val="16"/>
          <w:szCs w:val="16"/>
        </w:rPr>
        <w:t>[10] A. Hermantono, "Teori Age</w:t>
      </w:r>
      <w:r>
        <w:rPr>
          <w:sz w:val="16"/>
          <w:szCs w:val="16"/>
        </w:rPr>
        <w:t>nsi: Teori Agensi dalam Perspektif Akuntansi Syariah," J. Penelit. Ilmu Ekon. Keuangan Syariah, vol. 1, no. 2, pp. 15-18, 2023, doi: 10.59059/jupiekes.v1i2.1646.</w:t>
      </w:r>
    </w:p>
    <w:p w:rsidR="007F2C85" w:rsidRDefault="005538B5">
      <w:pPr>
        <w:spacing w:after="80"/>
        <w:ind w:left="340" w:hanging="340"/>
        <w:jc w:val="both"/>
      </w:pPr>
      <w:r>
        <w:rPr>
          <w:sz w:val="16"/>
          <w:szCs w:val="16"/>
        </w:rPr>
        <w:t>[11] R. M. B. Gunawan, GRC (Good Governance, Risk Management, and Compliance). PT. RajaGrafind</w:t>
      </w:r>
      <w:r>
        <w:rPr>
          <w:sz w:val="16"/>
          <w:szCs w:val="16"/>
        </w:rPr>
        <w:t>o Persada, 2021.</w:t>
      </w:r>
    </w:p>
    <w:p w:rsidR="007F2C85" w:rsidRDefault="005538B5">
      <w:pPr>
        <w:spacing w:after="80"/>
        <w:ind w:left="340" w:hanging="340"/>
        <w:jc w:val="both"/>
      </w:pPr>
      <w:r>
        <w:rPr>
          <w:sz w:val="16"/>
          <w:szCs w:val="16"/>
        </w:rPr>
        <w:t>[12] R. Sari and D. Darmawati, "Pengaruh Cash Holding dan Financial Leverage terhadap Perataan Laba (Income Smoothing) dengan Good Corporate Governance sebagai Variabel Moderating," J. Aplikasi Akunt., vol. 6, no. 1, pp. 100-121, 2021, doi</w:t>
      </w:r>
      <w:r>
        <w:rPr>
          <w:sz w:val="16"/>
          <w:szCs w:val="16"/>
        </w:rPr>
        <w:t>: 10.29303/jaa.v6i1.113.</w:t>
      </w:r>
    </w:p>
    <w:p w:rsidR="007F2C85" w:rsidRDefault="005538B5">
      <w:pPr>
        <w:spacing w:after="80"/>
        <w:ind w:left="340" w:hanging="340"/>
        <w:jc w:val="both"/>
      </w:pPr>
      <w:r>
        <w:rPr>
          <w:sz w:val="16"/>
          <w:szCs w:val="16"/>
        </w:rPr>
        <w:t>[13] E. Caroline, Metode Kuantitatif. Media Sahabat Cendekia, 2019.</w:t>
      </w:r>
    </w:p>
    <w:p w:rsidR="007F2C85" w:rsidRDefault="005538B5">
      <w:pPr>
        <w:spacing w:after="80"/>
        <w:ind w:left="340" w:hanging="340"/>
        <w:jc w:val="both"/>
      </w:pPr>
      <w:r>
        <w:rPr>
          <w:sz w:val="16"/>
          <w:szCs w:val="16"/>
        </w:rPr>
        <w:t>[14] E. Roflin, F. Riana, E. Munarsih, and I. A. Liberty, Regresi Logistik Biner dan Multinomial. Penerbit NEM, 2023.</w:t>
      </w:r>
    </w:p>
    <w:p w:rsidR="007F2C85" w:rsidRDefault="005538B5">
      <w:pPr>
        <w:spacing w:after="80"/>
        <w:ind w:left="340" w:hanging="340"/>
        <w:jc w:val="both"/>
      </w:pPr>
      <w:r>
        <w:rPr>
          <w:sz w:val="16"/>
          <w:szCs w:val="16"/>
        </w:rPr>
        <w:t>[15] Jefriyanto, "Perbandingan Return on Asse</w:t>
      </w:r>
      <w:r>
        <w:rPr>
          <w:sz w:val="16"/>
          <w:szCs w:val="16"/>
        </w:rPr>
        <w:t>t, Return on Equity, Gross Profit Margin, Operating Profit Margin, dan Net Profit Margin Sebelum dan Semasa COVID-19 pada PT Matahari Department Store, Tbk," J. Ilmiah Akunt. Kesatuan, vol. 9, no. 1, pp. 61-66, 2021.</w:t>
      </w:r>
    </w:p>
    <w:p w:rsidR="007F2C85" w:rsidRDefault="005538B5">
      <w:pPr>
        <w:spacing w:after="80"/>
        <w:ind w:left="340" w:hanging="340"/>
        <w:jc w:val="both"/>
      </w:pPr>
      <w:r>
        <w:rPr>
          <w:sz w:val="16"/>
          <w:szCs w:val="16"/>
        </w:rPr>
        <w:t>[16] V. Angreini and I. Nurhayati, "Pen</w:t>
      </w:r>
      <w:r>
        <w:rPr>
          <w:sz w:val="16"/>
          <w:szCs w:val="16"/>
        </w:rPr>
        <w:t>garuh Leverage, Profitabilitas, Size, Nilai Saham, Cash Holding, dan Bonus Plan terhadap Perataan Laba," Owner, vol. 6, no. 1, pp. 123-135, 2022, doi: 10.33395/owner.v6i1.539.</w:t>
      </w:r>
    </w:p>
    <w:sectPr w:rsidR="007F2C85">
      <w:headerReference w:type="default" r:id="rId11"/>
      <w:footerReference w:type="default" r:id="rId12"/>
      <w:pgSz w:w="11906" w:h="16838"/>
      <w:pgMar w:top="1418" w:right="1134"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8B5" w:rsidRDefault="005538B5">
      <w:r>
        <w:separator/>
      </w:r>
    </w:p>
  </w:endnote>
  <w:endnote w:type="continuationSeparator" w:id="0">
    <w:p w:rsidR="005538B5" w:rsidRDefault="0055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C85" w:rsidRDefault="005538B5" w:rsidP="00D500E9">
    <w:pPr>
      <w:pBdr>
        <w:top w:val="single" w:sz="6" w:space="4" w:color="auto"/>
      </w:pBdr>
    </w:pPr>
    <w:r>
      <w:rPr>
        <w:i/>
        <w:iCs/>
        <w:sz w:val="16"/>
        <w:szCs w:val="16"/>
      </w:rPr>
      <w:t xml:space="preserve">TANJAK: Jurnal Tinjauan Syariah, Vol. </w:t>
    </w:r>
    <w:r w:rsidR="00D500E9">
      <w:rPr>
        <w:i/>
        <w:iCs/>
        <w:sz w:val="16"/>
        <w:szCs w:val="16"/>
      </w:rPr>
      <w:t>I No. I</w:t>
    </w:r>
    <w:r>
      <w:rPr>
        <w:i/>
        <w:iCs/>
        <w:sz w:val="16"/>
        <w:szCs w:val="16"/>
      </w:rPr>
      <w:t xml:space="preserve">, </w:t>
    </w:r>
    <w:r w:rsidR="00D500E9">
      <w:rPr>
        <w:i/>
        <w:iCs/>
        <w:sz w:val="16"/>
        <w:szCs w:val="16"/>
      </w:rPr>
      <w:t>Juni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8B5" w:rsidRDefault="005538B5">
      <w:r>
        <w:separator/>
      </w:r>
    </w:p>
  </w:footnote>
  <w:footnote w:type="continuationSeparator" w:id="0">
    <w:p w:rsidR="005538B5" w:rsidRDefault="00553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C85" w:rsidRDefault="005538B5">
    <w:r>
      <w:rPr>
        <w:b/>
        <w:bCs/>
        <w:sz w:val="18"/>
        <w:szCs w:val="18"/>
      </w:rPr>
      <w:t>TANJAK; Ju</w:t>
    </w:r>
    <w:r>
      <w:rPr>
        <w:b/>
        <w:bCs/>
        <w:sz w:val="18"/>
        <w:szCs w:val="18"/>
      </w:rPr>
      <w:t>rnal Tinjauan Syariah</w:t>
    </w:r>
  </w:p>
  <w:p w:rsidR="007F2C85" w:rsidRDefault="005538B5" w:rsidP="00BA67A1">
    <w:r>
      <w:rPr>
        <w:sz w:val="16"/>
        <w:szCs w:val="16"/>
      </w:rPr>
      <w:t xml:space="preserve">Vol. </w:t>
    </w:r>
    <w:r w:rsidR="00BA67A1">
      <w:rPr>
        <w:sz w:val="16"/>
        <w:szCs w:val="16"/>
      </w:rPr>
      <w:t>1, No. 1</w:t>
    </w:r>
    <w:r>
      <w:rPr>
        <w:sz w:val="16"/>
        <w:szCs w:val="16"/>
      </w:rPr>
      <w:t xml:space="preserve">, </w:t>
    </w:r>
    <w:r w:rsidR="00BA67A1">
      <w:rPr>
        <w:sz w:val="16"/>
        <w:szCs w:val="16"/>
      </w:rPr>
      <w:t>Juni 2026</w:t>
    </w:r>
  </w:p>
  <w:p w:rsidR="007F2C85" w:rsidRDefault="005538B5" w:rsidP="00BA67A1">
    <w:pPr>
      <w:pBdr>
        <w:bottom w:val="single" w:sz="6" w:space="4" w:color="auto"/>
      </w:pBdr>
      <w:tabs>
        <w:tab w:val="right" w:pos="9026"/>
      </w:tabs>
    </w:pPr>
    <w:r>
      <w:rPr>
        <w:sz w:val="16"/>
        <w:szCs w:val="16"/>
      </w:rPr>
      <w:t>ISSN: xxxx-xxxx, DOI: xx.xxxxx</w:t>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3F7ED7"/>
    <w:multiLevelType w:val="hybridMultilevel"/>
    <w:tmpl w:val="A01E3F42"/>
    <w:lvl w:ilvl="0" w:tplc="22348286">
      <w:start w:val="1"/>
      <w:numFmt w:val="bullet"/>
      <w:lvlText w:val="●"/>
      <w:lvlJc w:val="left"/>
      <w:pPr>
        <w:ind w:left="720" w:hanging="360"/>
      </w:pPr>
    </w:lvl>
    <w:lvl w:ilvl="1" w:tplc="F19EDA38">
      <w:start w:val="1"/>
      <w:numFmt w:val="bullet"/>
      <w:lvlText w:val="○"/>
      <w:lvlJc w:val="left"/>
      <w:pPr>
        <w:ind w:left="1440" w:hanging="360"/>
      </w:pPr>
    </w:lvl>
    <w:lvl w:ilvl="2" w:tplc="5424639A">
      <w:start w:val="1"/>
      <w:numFmt w:val="bullet"/>
      <w:lvlText w:val="■"/>
      <w:lvlJc w:val="left"/>
      <w:pPr>
        <w:ind w:left="2160" w:hanging="360"/>
      </w:pPr>
    </w:lvl>
    <w:lvl w:ilvl="3" w:tplc="A1CEC546">
      <w:start w:val="1"/>
      <w:numFmt w:val="bullet"/>
      <w:lvlText w:val="●"/>
      <w:lvlJc w:val="left"/>
      <w:pPr>
        <w:ind w:left="2880" w:hanging="360"/>
      </w:pPr>
    </w:lvl>
    <w:lvl w:ilvl="4" w:tplc="9B4A0712">
      <w:start w:val="1"/>
      <w:numFmt w:val="bullet"/>
      <w:lvlText w:val="○"/>
      <w:lvlJc w:val="left"/>
      <w:pPr>
        <w:ind w:left="3600" w:hanging="360"/>
      </w:pPr>
    </w:lvl>
    <w:lvl w:ilvl="5" w:tplc="B8C01452">
      <w:start w:val="1"/>
      <w:numFmt w:val="bullet"/>
      <w:lvlText w:val="■"/>
      <w:lvlJc w:val="left"/>
      <w:pPr>
        <w:ind w:left="4320" w:hanging="360"/>
      </w:pPr>
    </w:lvl>
    <w:lvl w:ilvl="6" w:tplc="F47257A2">
      <w:start w:val="1"/>
      <w:numFmt w:val="bullet"/>
      <w:lvlText w:val="●"/>
      <w:lvlJc w:val="left"/>
      <w:pPr>
        <w:ind w:left="5040" w:hanging="360"/>
      </w:pPr>
    </w:lvl>
    <w:lvl w:ilvl="7" w:tplc="44D0504E">
      <w:start w:val="1"/>
      <w:numFmt w:val="bullet"/>
      <w:lvlText w:val="●"/>
      <w:lvlJc w:val="left"/>
      <w:pPr>
        <w:ind w:left="5760" w:hanging="360"/>
      </w:pPr>
    </w:lvl>
    <w:lvl w:ilvl="8" w:tplc="26A870FA">
      <w:start w:val="1"/>
      <w:numFmt w:val="bullet"/>
      <w:lvlText w:val="●"/>
      <w:lvlJc w:val="left"/>
      <w:pPr>
        <w:ind w:left="6480" w:hanging="360"/>
      </w:pPr>
    </w:lvl>
  </w:abstractNum>
  <w:abstractNum w:abstractNumId="1">
    <w:nsid w:val="58050421"/>
    <w:multiLevelType w:val="hybridMultilevel"/>
    <w:tmpl w:val="51464178"/>
    <w:lvl w:ilvl="0" w:tplc="04F6AB96">
      <w:start w:val="1"/>
      <w:numFmt w:val="decimal"/>
      <w:lvlText w:val="%1."/>
      <w:lvlJc w:val="left"/>
      <w:pPr>
        <w:ind w:left="720" w:hanging="360"/>
      </w:pPr>
    </w:lvl>
    <w:lvl w:ilvl="1" w:tplc="1F24EB60">
      <w:numFmt w:val="decimal"/>
      <w:lvlText w:val=""/>
      <w:lvlJc w:val="left"/>
    </w:lvl>
    <w:lvl w:ilvl="2" w:tplc="4A2E2796">
      <w:numFmt w:val="decimal"/>
      <w:lvlText w:val=""/>
      <w:lvlJc w:val="left"/>
    </w:lvl>
    <w:lvl w:ilvl="3" w:tplc="F6B40E44">
      <w:numFmt w:val="decimal"/>
      <w:lvlText w:val=""/>
      <w:lvlJc w:val="left"/>
    </w:lvl>
    <w:lvl w:ilvl="4" w:tplc="ADB0C9C2">
      <w:numFmt w:val="decimal"/>
      <w:lvlText w:val=""/>
      <w:lvlJc w:val="left"/>
    </w:lvl>
    <w:lvl w:ilvl="5" w:tplc="D54EC814">
      <w:numFmt w:val="decimal"/>
      <w:lvlText w:val=""/>
      <w:lvlJc w:val="left"/>
    </w:lvl>
    <w:lvl w:ilvl="6" w:tplc="509E3908">
      <w:numFmt w:val="decimal"/>
      <w:lvlText w:val=""/>
      <w:lvlJc w:val="left"/>
    </w:lvl>
    <w:lvl w:ilvl="7" w:tplc="3DE842FC">
      <w:numFmt w:val="decimal"/>
      <w:lvlText w:val=""/>
      <w:lvlJc w:val="left"/>
    </w:lvl>
    <w:lvl w:ilvl="8" w:tplc="2684EDFE">
      <w:numFmt w:val="decimal"/>
      <w:lvlText w:val=""/>
      <w:lvlJc w:val="left"/>
    </w:lvl>
  </w:abstractNum>
  <w:abstractNum w:abstractNumId="2">
    <w:nsid w:val="6EBD1A77"/>
    <w:multiLevelType w:val="hybridMultilevel"/>
    <w:tmpl w:val="E01E98B4"/>
    <w:lvl w:ilvl="0" w:tplc="DF845DD4">
      <w:start w:val="1"/>
      <w:numFmt w:val="decimal"/>
      <w:lvlText w:val="%1."/>
      <w:lvlJc w:val="left"/>
      <w:pPr>
        <w:ind w:left="720" w:hanging="360"/>
      </w:pPr>
    </w:lvl>
    <w:lvl w:ilvl="1" w:tplc="156C16D6">
      <w:numFmt w:val="decimal"/>
      <w:lvlText w:val=""/>
      <w:lvlJc w:val="left"/>
    </w:lvl>
    <w:lvl w:ilvl="2" w:tplc="5D8072EA">
      <w:numFmt w:val="decimal"/>
      <w:lvlText w:val=""/>
      <w:lvlJc w:val="left"/>
    </w:lvl>
    <w:lvl w:ilvl="3" w:tplc="FD08D836">
      <w:numFmt w:val="decimal"/>
      <w:lvlText w:val=""/>
      <w:lvlJc w:val="left"/>
    </w:lvl>
    <w:lvl w:ilvl="4" w:tplc="2EEC8166">
      <w:numFmt w:val="decimal"/>
      <w:lvlText w:val=""/>
      <w:lvlJc w:val="left"/>
    </w:lvl>
    <w:lvl w:ilvl="5" w:tplc="8AF8E476">
      <w:numFmt w:val="decimal"/>
      <w:lvlText w:val=""/>
      <w:lvlJc w:val="left"/>
    </w:lvl>
    <w:lvl w:ilvl="6" w:tplc="47EA3E76">
      <w:numFmt w:val="decimal"/>
      <w:lvlText w:val=""/>
      <w:lvlJc w:val="left"/>
    </w:lvl>
    <w:lvl w:ilvl="7" w:tplc="8DC8A94A">
      <w:numFmt w:val="decimal"/>
      <w:lvlText w:val=""/>
      <w:lvlJc w:val="left"/>
    </w:lvl>
    <w:lvl w:ilvl="8" w:tplc="103C0B1A">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85"/>
    <w:rsid w:val="00370A63"/>
    <w:rsid w:val="005538B5"/>
    <w:rsid w:val="007F2C85"/>
    <w:rsid w:val="00BA67A1"/>
    <w:rsid w:val="00D50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04C97-BB6C-497F-A24C-F7487491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A67A1"/>
    <w:pPr>
      <w:tabs>
        <w:tab w:val="center" w:pos="4680"/>
        <w:tab w:val="right" w:pos="9360"/>
      </w:tabs>
    </w:pPr>
  </w:style>
  <w:style w:type="character" w:customStyle="1" w:styleId="HeaderChar">
    <w:name w:val="Header Char"/>
    <w:basedOn w:val="DefaultParagraphFont"/>
    <w:link w:val="Header"/>
    <w:uiPriority w:val="99"/>
    <w:rsid w:val="00BA67A1"/>
  </w:style>
  <w:style w:type="paragraph" w:styleId="Footer">
    <w:name w:val="footer"/>
    <w:basedOn w:val="Normal"/>
    <w:link w:val="FooterChar"/>
    <w:uiPriority w:val="99"/>
    <w:unhideWhenUsed/>
    <w:rsid w:val="00BA67A1"/>
    <w:pPr>
      <w:tabs>
        <w:tab w:val="center" w:pos="4680"/>
        <w:tab w:val="right" w:pos="9360"/>
      </w:tabs>
    </w:pPr>
  </w:style>
  <w:style w:type="character" w:customStyle="1" w:styleId="FooterChar">
    <w:name w:val="Footer Char"/>
    <w:basedOn w:val="DefaultParagraphFont"/>
    <w:link w:val="Footer"/>
    <w:uiPriority w:val="99"/>
    <w:rsid w:val="00BA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haa002@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cnbcindonesia.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Penutupan IHSG (2021-2024)</a:t>
            </a:r>
          </a:p>
        </c:rich>
      </c:tx>
      <c:layout>
        <c:manualLayout>
          <c:xMode val="edge"/>
          <c:yMode val="edge"/>
          <c:x val="0.28064807889362631"/>
          <c:y val="2.2818625139056706E-2"/>
        </c:manualLayout>
      </c:layout>
      <c:overlay val="1"/>
    </c:title>
    <c:autoTitleDeleted val="0"/>
    <c:plotArea>
      <c:layout>
        <c:manualLayout>
          <c:layoutTarget val="inner"/>
          <c:xMode val="edge"/>
          <c:yMode val="edge"/>
          <c:x val="0.20171630720073033"/>
          <c:y val="4.9094933629379882E-2"/>
          <c:w val="0.77055842499838745"/>
          <c:h val="0.80031605709860676"/>
        </c:manualLayout>
      </c:layout>
      <c:barChart>
        <c:barDir val="col"/>
        <c:grouping val="clustered"/>
        <c:varyColors val="0"/>
        <c:ser>
          <c:idx val="0"/>
          <c:order val="0"/>
          <c:tx>
            <c:strRef>
              <c:f>Sheet1!$B$1</c:f>
              <c:strCache>
                <c:ptCount val="1"/>
                <c:pt idx="0">
                  <c:v>IHSG</c:v>
                </c:pt>
              </c:strCache>
            </c:strRef>
          </c:tx>
          <c:spPr>
            <a:effectLst>
              <a:outerShdw blurRad="50800" dist="50800" dir="5400000" algn="ctr" rotWithShape="0">
                <a:schemeClr val="tx1"/>
              </a:outerShdw>
            </a:effectLst>
          </c:spPr>
          <c:invertIfNegative val="0"/>
          <c:dPt>
            <c:idx val="0"/>
            <c:invertIfNegative val="0"/>
            <c:bubble3D val="0"/>
            <c:spPr>
              <a:solidFill>
                <a:schemeClr val="accent3"/>
              </a:solidFill>
              <a:effectLst>
                <a:outerShdw blurRad="50800" dist="50800" dir="5400000" algn="ctr" rotWithShape="0">
                  <a:schemeClr val="tx1"/>
                </a:outerShdw>
              </a:effectLst>
            </c:spPr>
          </c:dPt>
          <c:dPt>
            <c:idx val="1"/>
            <c:invertIfNegative val="0"/>
            <c:bubble3D val="0"/>
            <c:spPr>
              <a:solidFill>
                <a:schemeClr val="accent3"/>
              </a:solidFill>
              <a:effectLst>
                <a:outerShdw blurRad="50800" dist="50800" dir="5400000" algn="ctr" rotWithShape="0">
                  <a:schemeClr val="tx1"/>
                </a:outerShdw>
              </a:effectLst>
            </c:spPr>
          </c:dPt>
          <c:dPt>
            <c:idx val="2"/>
            <c:invertIfNegative val="0"/>
            <c:bubble3D val="0"/>
            <c:spPr>
              <a:solidFill>
                <a:schemeClr val="accent3"/>
              </a:solidFill>
              <a:effectLst>
                <a:outerShdw blurRad="50800" dist="50800" dir="5400000" algn="ctr" rotWithShape="0">
                  <a:schemeClr val="tx1">
                    <a:lumMod val="95000"/>
                    <a:lumOff val="5000"/>
                  </a:schemeClr>
                </a:outerShdw>
              </a:effectLst>
            </c:spPr>
          </c:dPt>
          <c:dPt>
            <c:idx val="3"/>
            <c:invertIfNegative val="0"/>
            <c:bubble3D val="0"/>
            <c:spPr>
              <a:solidFill>
                <a:srgbClr val="C00000"/>
              </a:solidFill>
              <a:effectLst>
                <a:outerShdw blurRad="50800" dist="50800" dir="5400000" algn="ctr" rotWithShape="0">
                  <a:schemeClr val="tx1"/>
                </a:outerShdw>
              </a:effectLst>
            </c:spPr>
          </c:dPt>
          <c:dLbls>
            <c:dLbl>
              <c:idx val="0"/>
              <c:tx>
                <c:rich>
                  <a:bodyPr/>
                  <a:lstStyle/>
                  <a:p>
                    <a:r>
                      <a:rPr lang="en-US" sz="800"/>
                      <a:t> Rp</a:t>
                    </a:r>
                    <a:r>
                      <a:rPr lang="en-US" sz="800" baseline="0"/>
                      <a:t> 6,581.48</a:t>
                    </a:r>
                    <a:r>
                      <a:rPr lang="en-US" sz="800"/>
                      <a:t>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t> Rp6,850.62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t> Rp7,272.79 </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t> Rp7,069.04 </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2021</c:v>
                </c:pt>
                <c:pt idx="1">
                  <c:v>2022</c:v>
                </c:pt>
                <c:pt idx="2">
                  <c:v>2023</c:v>
                </c:pt>
                <c:pt idx="3">
                  <c:v>2024</c:v>
                </c:pt>
              </c:numCache>
            </c:numRef>
          </c:cat>
          <c:val>
            <c:numRef>
              <c:f>Sheet1!$B$2:$B$5</c:f>
              <c:numCache>
                <c:formatCode>_("Rp"* #,##0_);_("Rp"* \(#,##0\);_("Rp"* "-"_);_(@_)</c:formatCode>
                <c:ptCount val="4"/>
                <c:pt idx="0">
                  <c:v>6.58148</c:v>
                </c:pt>
                <c:pt idx="1">
                  <c:v>6.8506200000000002</c:v>
                </c:pt>
                <c:pt idx="2">
                  <c:v>7.7277899999999997</c:v>
                </c:pt>
                <c:pt idx="3">
                  <c:v>7.0799000000000003</c:v>
                </c:pt>
              </c:numCache>
            </c:numRef>
          </c:val>
        </c:ser>
        <c:ser>
          <c:idx val="2"/>
          <c:order val="1"/>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2021</c:v>
                </c:pt>
                <c:pt idx="1">
                  <c:v>2022</c:v>
                </c:pt>
                <c:pt idx="2">
                  <c:v>2023</c:v>
                </c:pt>
                <c:pt idx="3">
                  <c:v>2024</c:v>
                </c:pt>
              </c:numCache>
            </c:numRef>
          </c:cat>
          <c:val>
            <c:numRef>
              <c:f>Sheet1!$D$2:$D$5</c:f>
              <c:numCache>
                <c:formatCode>General</c:formatCode>
                <c:ptCount val="4"/>
              </c:numCache>
            </c:numRef>
          </c:val>
        </c:ser>
        <c:dLbls>
          <c:showLegendKey val="0"/>
          <c:showVal val="1"/>
          <c:showCatName val="0"/>
          <c:showSerName val="0"/>
          <c:showPercent val="0"/>
          <c:showBubbleSize val="0"/>
        </c:dLbls>
        <c:gapWidth val="28"/>
        <c:overlap val="100"/>
        <c:axId val="425557688"/>
        <c:axId val="425559648"/>
      </c:barChart>
      <c:catAx>
        <c:axId val="425557688"/>
        <c:scaling>
          <c:orientation val="minMax"/>
        </c:scaling>
        <c:delete val="0"/>
        <c:axPos val="b"/>
        <c:title>
          <c:tx>
            <c:rich>
              <a:bodyPr/>
              <a:lstStyle/>
              <a:p>
                <a:pPr>
                  <a:defRPr/>
                </a:pPr>
                <a:r>
                  <a:rPr lang="en-US"/>
                  <a:t>Periode</a:t>
                </a:r>
              </a:p>
            </c:rich>
          </c:tx>
          <c:overlay val="0"/>
        </c:title>
        <c:numFmt formatCode="General" sourceLinked="1"/>
        <c:majorTickMark val="none"/>
        <c:minorTickMark val="none"/>
        <c:tickLblPos val="nextTo"/>
        <c:crossAx val="425559648"/>
        <c:crosses val="autoZero"/>
        <c:auto val="1"/>
        <c:lblAlgn val="ctr"/>
        <c:lblOffset val="100"/>
        <c:noMultiLvlLbl val="0"/>
      </c:catAx>
      <c:valAx>
        <c:axId val="425559648"/>
        <c:scaling>
          <c:orientation val="minMax"/>
          <c:max val="10"/>
          <c:min val="1"/>
        </c:scaling>
        <c:delete val="0"/>
        <c:axPos val="l"/>
        <c:title>
          <c:tx>
            <c:rich>
              <a:bodyPr rot="-5400000" vert="horz"/>
              <a:lstStyle/>
              <a:p>
                <a:pPr>
                  <a:defRPr/>
                </a:pPr>
                <a:r>
                  <a:rPr lang="en-US"/>
                  <a:t>Nilai IHSG</a:t>
                </a:r>
              </a:p>
            </c:rich>
          </c:tx>
          <c:overlay val="0"/>
        </c:title>
        <c:numFmt formatCode="_-&quot;Rp&quot;* #,##0.000_-;\-&quot;Rp&quot;* #,##0.000_-;_-&quot;Rp&quot;* &quot;-&quot;???_-;_-@_-" sourceLinked="0"/>
        <c:majorTickMark val="none"/>
        <c:minorTickMark val="none"/>
        <c:tickLblPos val="nextTo"/>
        <c:crossAx val="425557688"/>
        <c:crosses val="autoZero"/>
        <c:crossBetween val="between"/>
        <c:majorUnit val="1"/>
        <c:minorUnit val="0.1"/>
      </c:valAx>
    </c:plotArea>
    <c:plotVisOnly val="1"/>
    <c:dispBlanksAs val="gap"/>
    <c:showDLblsOverMax val="0"/>
  </c:chart>
  <c:txPr>
    <a:bodyPr/>
    <a:lstStyle/>
    <a:p>
      <a:pPr>
        <a:defRPr sz="900">
          <a:latin typeface="Bell MT"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4727</Words>
  <Characters>26949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3</cp:revision>
  <dcterms:created xsi:type="dcterms:W3CDTF">2026-08-24T23:48:00Z</dcterms:created>
  <dcterms:modified xsi:type="dcterms:W3CDTF">2026-08-25T00:02:00Z</dcterms:modified>
</cp:coreProperties>
</file>