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09E" w:rsidRDefault="00017D78">
      <w:pPr>
        <w:spacing w:after="200"/>
        <w:jc w:val="center"/>
      </w:pPr>
      <w:r>
        <w:rPr>
          <w:b/>
          <w:bCs/>
          <w:sz w:val="32"/>
          <w:szCs w:val="32"/>
        </w:rPr>
        <w:t>Pengaruh Intellectual Capital dan Islamicity Performance Index terhadap Kinerja Keuangan Bank Syariah di Indonesia</w:t>
      </w:r>
    </w:p>
    <w:p w:rsidR="00E6409E" w:rsidRDefault="00017D78">
      <w:pPr>
        <w:spacing w:after="60"/>
        <w:jc w:val="center"/>
      </w:pPr>
      <w:r>
        <w:rPr>
          <w:b/>
          <w:bCs/>
        </w:rPr>
        <w:t>Desi Erianti</w:t>
      </w:r>
    </w:p>
    <w:p w:rsidR="00E6409E" w:rsidRDefault="00017D78">
      <w:pPr>
        <w:spacing w:after="300"/>
        <w:jc w:val="center"/>
      </w:pPr>
      <w:r>
        <w:rPr>
          <w:i/>
          <w:iCs/>
          <w:sz w:val="16"/>
          <w:szCs w:val="16"/>
        </w:rPr>
        <w:t>Program Studi Akuntansi Syariah, Fakultas Syariah dan Ekonomi Islam, Institut Agama Islam Negeri (IAIN) Datuk Laksemana Bengkalis, Indonesia</w:t>
      </w: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3200"/>
        <w:gridCol w:w="6832"/>
      </w:tblGrid>
      <w:tr w:rsidR="00E6409E">
        <w:tblPrEx>
          <w:tblCellMar>
            <w:top w:w="0" w:type="dxa"/>
            <w:bottom w:w="0" w:type="dxa"/>
          </w:tblCellMar>
        </w:tblPrEx>
        <w:tc>
          <w:tcPr>
            <w:tcW w:w="3200" w:type="dxa"/>
          </w:tcPr>
          <w:p w:rsidR="00E6409E" w:rsidRDefault="00017D78">
            <w:pPr>
              <w:spacing w:after="100"/>
            </w:pPr>
            <w:r>
              <w:rPr>
                <w:b/>
                <w:bCs/>
                <w:sz w:val="18"/>
                <w:szCs w:val="18"/>
              </w:rPr>
              <w:t>Article Info</w:t>
            </w:r>
          </w:p>
          <w:p w:rsidR="00E6409E" w:rsidRDefault="00017D78">
            <w:pPr>
              <w:spacing w:after="60"/>
            </w:pPr>
            <w:r>
              <w:rPr>
                <w:b/>
                <w:bCs/>
                <w:i/>
                <w:iCs/>
                <w:sz w:val="18"/>
                <w:szCs w:val="18"/>
              </w:rPr>
              <w:t>Article history:</w:t>
            </w:r>
          </w:p>
          <w:p w:rsidR="0088585D" w:rsidRDefault="0088585D">
            <w:pPr>
              <w:spacing w:after="60"/>
              <w:rPr>
                <w:sz w:val="18"/>
                <w:szCs w:val="18"/>
              </w:rPr>
            </w:pPr>
          </w:p>
          <w:p w:rsidR="0088585D" w:rsidRDefault="0088585D">
            <w:pPr>
              <w:spacing w:after="60"/>
              <w:rPr>
                <w:sz w:val="18"/>
                <w:szCs w:val="18"/>
              </w:rPr>
            </w:pPr>
          </w:p>
          <w:p w:rsidR="0088585D" w:rsidRDefault="0088585D">
            <w:pPr>
              <w:spacing w:after="60"/>
              <w:rPr>
                <w:sz w:val="18"/>
                <w:szCs w:val="18"/>
              </w:rPr>
            </w:pPr>
          </w:p>
          <w:p w:rsidR="00E6409E" w:rsidRDefault="00017D78">
            <w:pPr>
              <w:spacing w:after="60"/>
            </w:pPr>
            <w:r>
              <w:rPr>
                <w:b/>
                <w:bCs/>
                <w:i/>
                <w:iCs/>
                <w:sz w:val="18"/>
                <w:szCs w:val="18"/>
              </w:rPr>
              <w:t>Keywords:</w:t>
            </w:r>
          </w:p>
          <w:p w:rsidR="00E6409E" w:rsidRDefault="00017D78">
            <w:r>
              <w:rPr>
                <w:i/>
                <w:iCs/>
                <w:sz w:val="18"/>
                <w:szCs w:val="18"/>
              </w:rPr>
              <w:t xml:space="preserve">Intellectual </w:t>
            </w:r>
            <w:r>
              <w:rPr>
                <w:i/>
                <w:iCs/>
                <w:sz w:val="18"/>
                <w:szCs w:val="18"/>
              </w:rPr>
              <w:t>Capital</w:t>
            </w:r>
          </w:p>
          <w:p w:rsidR="00E6409E" w:rsidRDefault="00017D78">
            <w:r>
              <w:rPr>
                <w:i/>
                <w:iCs/>
                <w:sz w:val="18"/>
                <w:szCs w:val="18"/>
              </w:rPr>
              <w:t>Islamicity Performance Index</w:t>
            </w:r>
          </w:p>
          <w:p w:rsidR="00E6409E" w:rsidRDefault="00017D78">
            <w:r>
              <w:rPr>
                <w:i/>
                <w:iCs/>
                <w:sz w:val="18"/>
                <w:szCs w:val="18"/>
              </w:rPr>
              <w:t>Financial Performance of Islamic Banks</w:t>
            </w:r>
          </w:p>
        </w:tc>
        <w:tc>
          <w:tcPr>
            <w:tcW w:w="6832" w:type="dxa"/>
          </w:tcPr>
          <w:p w:rsidR="00E6409E" w:rsidRDefault="00017D78">
            <w:pPr>
              <w:spacing w:after="100"/>
            </w:pPr>
            <w:r>
              <w:rPr>
                <w:b/>
                <w:bCs/>
                <w:sz w:val="18"/>
                <w:szCs w:val="18"/>
              </w:rPr>
              <w:t>ABSTRACT</w:t>
            </w:r>
          </w:p>
          <w:p w:rsidR="00E6409E" w:rsidRDefault="00017D78">
            <w:pPr>
              <w:spacing w:after="120"/>
              <w:jc w:val="both"/>
            </w:pPr>
            <w:r>
              <w:rPr>
                <w:sz w:val="18"/>
                <w:szCs w:val="18"/>
              </w:rPr>
              <w:t>The development of Sharia Commercial Banks in Indonesia shows a significant growth trend, yet their financial performance remains volatile. This performance is generally m</w:t>
            </w:r>
            <w:r>
              <w:rPr>
                <w:sz w:val="18"/>
                <w:szCs w:val="18"/>
              </w:rPr>
              <w:t>easured through profitability ratios, particularly Return on Assets (ROA). This study aims to analyze the influence of intellectual capital, profit-sharing ratio, zakat performance ratio, and Islamic income versus non-Islamic income on the financial perfor</w:t>
            </w:r>
            <w:r>
              <w:rPr>
                <w:sz w:val="18"/>
                <w:szCs w:val="18"/>
              </w:rPr>
              <w:t>mance of Sharia Commercial Banks in Indonesia during the 2021-2024 period. This study employs a quantitative approach using secondary data sourced from the annual financial reports of Sharia Commercial Banks. The study population includes all Islamic Comme</w:t>
            </w:r>
            <w:r>
              <w:rPr>
                <w:sz w:val="18"/>
                <w:szCs w:val="18"/>
              </w:rPr>
              <w:t>rcial Banks operating in Indonesia during the observation period, while sample selection was conducted using purposive sampling. The data analysis technique employed is multiple linear regression. The results indicate that intellectual capital has a positi</w:t>
            </w:r>
            <w:r>
              <w:rPr>
                <w:sz w:val="18"/>
                <w:szCs w:val="18"/>
              </w:rPr>
              <w:t>ve and significant impact on the financial performance of Islamic Commercial Banks. Meanwhile, the profit sharing ratio, zakat performance ratio, and the ratio of Islamic income to non-Islamic income do not have a significant impact on financial performanc</w:t>
            </w:r>
            <w:r>
              <w:rPr>
                <w:sz w:val="18"/>
                <w:szCs w:val="18"/>
              </w:rPr>
              <w:t>e. These findings indicate that the management of intellectual assets plays a crucial role in enhancing the financial performance of Islamic banks, while improvements in Sharia compliance-based indicators have not yet directly impacted the bank's profitabi</w:t>
            </w:r>
            <w:r>
              <w:rPr>
                <w:sz w:val="18"/>
                <w:szCs w:val="18"/>
              </w:rPr>
              <w:t>lity.</w:t>
            </w:r>
          </w:p>
          <w:p w:rsidR="00E6409E" w:rsidRDefault="00017D78">
            <w:pPr>
              <w:spacing w:after="80"/>
              <w:jc w:val="both"/>
            </w:pPr>
            <w:r>
              <w:rPr>
                <w:i/>
                <w:iCs/>
                <w:sz w:val="18"/>
                <w:szCs w:val="18"/>
              </w:rPr>
              <w:t>.</w:t>
            </w:r>
          </w:p>
        </w:tc>
      </w:tr>
    </w:tbl>
    <w:p w:rsidR="00E6409E" w:rsidRDefault="00E6409E">
      <w:pPr>
        <w:spacing w:after="150"/>
      </w:pPr>
    </w:p>
    <w:tbl>
      <w:tblPr>
        <w:tblW w:w="10032" w:type="dxa"/>
        <w:tblInd w:w="-10" w:type="dxa"/>
        <w:tblBorders>
          <w:bottom w:val="single" w:sz="6" w:space="0" w:color="auto"/>
        </w:tblBorders>
        <w:tblCellMar>
          <w:left w:w="10" w:type="dxa"/>
          <w:right w:w="10" w:type="dxa"/>
        </w:tblCellMar>
        <w:tblLook w:val="04A0" w:firstRow="1" w:lastRow="0" w:firstColumn="1" w:lastColumn="0" w:noHBand="0" w:noVBand="1"/>
      </w:tblPr>
      <w:tblGrid>
        <w:gridCol w:w="3200"/>
        <w:gridCol w:w="6832"/>
      </w:tblGrid>
      <w:tr w:rsidR="00E6409E">
        <w:tblPrEx>
          <w:tblCellMar>
            <w:top w:w="0" w:type="dxa"/>
            <w:bottom w:w="0" w:type="dxa"/>
          </w:tblCellMar>
        </w:tblPrEx>
        <w:tc>
          <w:tcPr>
            <w:tcW w:w="3200" w:type="dxa"/>
          </w:tcPr>
          <w:p w:rsidR="00E6409E" w:rsidRDefault="00017D78">
            <w:pPr>
              <w:spacing w:after="60"/>
            </w:pPr>
            <w:r>
              <w:rPr>
                <w:b/>
                <w:bCs/>
                <w:i/>
                <w:iCs/>
                <w:sz w:val="18"/>
                <w:szCs w:val="18"/>
              </w:rPr>
              <w:t>Kata Kunci:</w:t>
            </w:r>
          </w:p>
          <w:p w:rsidR="00E6409E" w:rsidRDefault="00017D78">
            <w:r>
              <w:rPr>
                <w:i/>
                <w:iCs/>
                <w:sz w:val="18"/>
                <w:szCs w:val="18"/>
              </w:rPr>
              <w:t>Intellectual Capital</w:t>
            </w:r>
          </w:p>
          <w:p w:rsidR="00E6409E" w:rsidRDefault="00017D78">
            <w:r>
              <w:rPr>
                <w:i/>
                <w:iCs/>
                <w:sz w:val="18"/>
                <w:szCs w:val="18"/>
              </w:rPr>
              <w:t>Islamicity Performance Index</w:t>
            </w:r>
          </w:p>
          <w:p w:rsidR="00E6409E" w:rsidRDefault="00017D78">
            <w:r>
              <w:rPr>
                <w:i/>
                <w:iCs/>
                <w:sz w:val="18"/>
                <w:szCs w:val="18"/>
              </w:rPr>
              <w:t>Kinerja Keuangan Bank Syariah</w:t>
            </w:r>
          </w:p>
        </w:tc>
        <w:tc>
          <w:tcPr>
            <w:tcW w:w="6832" w:type="dxa"/>
          </w:tcPr>
          <w:p w:rsidR="00E6409E" w:rsidRDefault="00017D78">
            <w:pPr>
              <w:spacing w:after="100"/>
            </w:pPr>
            <w:r>
              <w:rPr>
                <w:b/>
                <w:bCs/>
                <w:sz w:val="18"/>
                <w:szCs w:val="18"/>
              </w:rPr>
              <w:t>Abstrak</w:t>
            </w:r>
          </w:p>
          <w:p w:rsidR="00E6409E" w:rsidRDefault="00017D78">
            <w:pPr>
              <w:spacing w:after="100"/>
              <w:jc w:val="both"/>
            </w:pPr>
            <w:r>
              <w:rPr>
                <w:sz w:val="18"/>
                <w:szCs w:val="18"/>
              </w:rPr>
              <w:t xml:space="preserve">Perkembangan Bank Umum Syariah di Indonesia menunjukkan tren pertumbuhan yang signifikan, namun kinerja keuangannya masih berfluktuasi. Kinerja tersebut umumnya diukur melalui rasio profitabilitas, khususnya </w:t>
            </w:r>
            <w:r>
              <w:rPr>
                <w:i/>
                <w:iCs/>
                <w:sz w:val="18"/>
                <w:szCs w:val="18"/>
              </w:rPr>
              <w:t>Return on Assets</w:t>
            </w:r>
            <w:r>
              <w:rPr>
                <w:sz w:val="18"/>
                <w:szCs w:val="18"/>
              </w:rPr>
              <w:t xml:space="preserve"> (ROA). Penelitian ini bertujuan</w:t>
            </w:r>
            <w:r>
              <w:rPr>
                <w:sz w:val="18"/>
                <w:szCs w:val="18"/>
              </w:rPr>
              <w:t xml:space="preserve"> untuk menganalisis pengaruh </w:t>
            </w:r>
            <w:r>
              <w:rPr>
                <w:i/>
                <w:iCs/>
                <w:sz w:val="18"/>
                <w:szCs w:val="18"/>
              </w:rPr>
              <w:t>intellectual capital, profit sharing ratio, zakat performance ratio,</w:t>
            </w:r>
            <w:r>
              <w:rPr>
                <w:sz w:val="18"/>
                <w:szCs w:val="18"/>
              </w:rPr>
              <w:t xml:space="preserve"> serta </w:t>
            </w:r>
            <w:r>
              <w:rPr>
                <w:i/>
                <w:iCs/>
                <w:sz w:val="18"/>
                <w:szCs w:val="18"/>
              </w:rPr>
              <w:t>Islamic income versus non-Islamic income</w:t>
            </w:r>
            <w:r>
              <w:rPr>
                <w:sz w:val="18"/>
                <w:szCs w:val="18"/>
              </w:rPr>
              <w:t xml:space="preserve"> terhadap kinerja keuangan Bank Umum Syariah di Indonesia pada periode 2021-2024. Penelitian ini menggunakan pen</w:t>
            </w:r>
            <w:r>
              <w:rPr>
                <w:sz w:val="18"/>
                <w:szCs w:val="18"/>
              </w:rPr>
              <w:t>dekatan kuantitatif dengan sumber data sekunder yang diperoleh dari laporan keuangan tahunan Bank Umum Syariah. Populasi penelitian mencakup seluruh Bank Umum Syariah yang beroperasi di Indonesia selama periode pengamatan, sedangkan pemilihan sampel dilaku</w:t>
            </w:r>
            <w:r>
              <w:rPr>
                <w:sz w:val="18"/>
                <w:szCs w:val="18"/>
              </w:rPr>
              <w:t xml:space="preserve">kan melalui teknik </w:t>
            </w:r>
            <w:r>
              <w:rPr>
                <w:i/>
                <w:iCs/>
                <w:sz w:val="18"/>
                <w:szCs w:val="18"/>
              </w:rPr>
              <w:t>purposive sampling</w:t>
            </w:r>
            <w:r>
              <w:rPr>
                <w:sz w:val="18"/>
                <w:szCs w:val="18"/>
              </w:rPr>
              <w:t xml:space="preserve">. Teknik analisis data yang digunakan adalah regresi linier berganda. Hasil penelitian menunjukkan bahwa </w:t>
            </w:r>
            <w:r>
              <w:rPr>
                <w:i/>
                <w:iCs/>
                <w:sz w:val="18"/>
                <w:szCs w:val="18"/>
              </w:rPr>
              <w:t>intellectual capital</w:t>
            </w:r>
            <w:r>
              <w:rPr>
                <w:sz w:val="18"/>
                <w:szCs w:val="18"/>
              </w:rPr>
              <w:t xml:space="preserve"> berpengaruh positif dan signifikan terhadap kinerja keuangan Bank Umum Syariah. Sementara itu</w:t>
            </w:r>
            <w:r>
              <w:rPr>
                <w:sz w:val="18"/>
                <w:szCs w:val="18"/>
              </w:rPr>
              <w:t xml:space="preserve">, </w:t>
            </w:r>
            <w:r>
              <w:rPr>
                <w:i/>
                <w:iCs/>
                <w:sz w:val="18"/>
                <w:szCs w:val="18"/>
              </w:rPr>
              <w:t>profit sharing ratio, zakat performance ratio,</w:t>
            </w:r>
            <w:r>
              <w:rPr>
                <w:sz w:val="18"/>
                <w:szCs w:val="18"/>
              </w:rPr>
              <w:t xml:space="preserve"> serta </w:t>
            </w:r>
            <w:r>
              <w:rPr>
                <w:i/>
                <w:iCs/>
                <w:sz w:val="18"/>
                <w:szCs w:val="18"/>
              </w:rPr>
              <w:t>Islamic income versus non-Islamic income</w:t>
            </w:r>
            <w:r>
              <w:rPr>
                <w:sz w:val="18"/>
                <w:szCs w:val="18"/>
              </w:rPr>
              <w:t xml:space="preserve"> tidak memiliki pengaruh signifikan terhadap kinerja keuangan. Temuan ini mengindikasikan bahwa pengelolaan aset intelektual memiliki peran penting dalam meningk</w:t>
            </w:r>
            <w:r>
              <w:rPr>
                <w:sz w:val="18"/>
                <w:szCs w:val="18"/>
              </w:rPr>
              <w:t>atkan kinerja keuangan bank syariah, sedangkan peningkatan indikator berbasis kepatuhan syariah belum secara langsung berdampak pada profitabilitas bank.</w:t>
            </w:r>
          </w:p>
        </w:tc>
      </w:tr>
    </w:tbl>
    <w:p w:rsidR="00E6409E" w:rsidRDefault="00E6409E">
      <w:pPr>
        <w:spacing w:after="150"/>
      </w:pP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10032"/>
      </w:tblGrid>
      <w:tr w:rsidR="00E6409E">
        <w:tblPrEx>
          <w:tblCellMar>
            <w:top w:w="0" w:type="dxa"/>
            <w:bottom w:w="0" w:type="dxa"/>
          </w:tblCellMar>
        </w:tblPrEx>
        <w:tc>
          <w:tcPr>
            <w:tcW w:w="10032" w:type="dxa"/>
          </w:tcPr>
          <w:p w:rsidR="00E6409E" w:rsidRDefault="00017D78">
            <w:pPr>
              <w:spacing w:after="100"/>
            </w:pPr>
            <w:r>
              <w:rPr>
                <w:b/>
                <w:bCs/>
                <w:i/>
                <w:iCs/>
                <w:sz w:val="18"/>
                <w:szCs w:val="18"/>
              </w:rPr>
              <w:t>Corresponding Author:</w:t>
            </w:r>
          </w:p>
          <w:p w:rsidR="00E6409E" w:rsidRDefault="00017D78">
            <w:r>
              <w:rPr>
                <w:sz w:val="18"/>
                <w:szCs w:val="18"/>
              </w:rPr>
              <w:t>Desi Erianti</w:t>
            </w:r>
          </w:p>
          <w:p w:rsidR="00E6409E" w:rsidRDefault="00017D78">
            <w:r>
              <w:rPr>
                <w:b/>
                <w:bCs/>
                <w:sz w:val="18"/>
                <w:szCs w:val="18"/>
              </w:rPr>
              <w:t>Program Studi Akuntansi Syariah, Fakultas Syariah dan Ekonomi Islam</w:t>
            </w:r>
          </w:p>
          <w:p w:rsidR="00E6409E" w:rsidRDefault="00017D78">
            <w:r>
              <w:rPr>
                <w:b/>
                <w:bCs/>
                <w:sz w:val="18"/>
                <w:szCs w:val="18"/>
              </w:rPr>
              <w:t>Institut Agama Islam Negeri (IAIN) Datuk Laksemana Bengkalis</w:t>
            </w:r>
          </w:p>
          <w:p w:rsidR="00E6409E" w:rsidRDefault="00017D78">
            <w:pPr>
              <w:spacing w:after="100"/>
            </w:pPr>
            <w:r>
              <w:rPr>
                <w:sz w:val="18"/>
                <w:szCs w:val="18"/>
              </w:rPr>
              <w:t xml:space="preserve">Email: </w:t>
            </w:r>
            <w:hyperlink r:id="rId7" w:history="1">
              <w:r w:rsidR="0088585D" w:rsidRPr="009049BC">
                <w:rPr>
                  <w:rStyle w:val="Hyperlink"/>
                  <w:sz w:val="18"/>
                  <w:szCs w:val="18"/>
                </w:rPr>
                <w:t>bursahp1018@gmail.com</w:t>
              </w:r>
            </w:hyperlink>
          </w:p>
        </w:tc>
      </w:tr>
    </w:tbl>
    <w:p w:rsidR="00E6409E" w:rsidRDefault="00E6409E">
      <w:pPr>
        <w:spacing w:after="200"/>
      </w:pPr>
    </w:p>
    <w:p w:rsidR="00E6409E" w:rsidRDefault="00017D78">
      <w:pPr>
        <w:spacing w:before="240" w:after="120"/>
      </w:pPr>
      <w:r>
        <w:rPr>
          <w:b/>
          <w:bCs/>
        </w:rPr>
        <w:t>1. PENDAHULUAN</w:t>
      </w:r>
    </w:p>
    <w:p w:rsidR="00E6409E" w:rsidRDefault="00017D78">
      <w:pPr>
        <w:spacing w:after="120"/>
        <w:ind w:firstLine="425"/>
        <w:jc w:val="both"/>
      </w:pPr>
      <w:r>
        <w:t>Perkembangan industri perbankan syariah di Indonesia menunjukkan pertumbuhan yang cukup pesat dalam beberapa tahun terakhir. Bank syariah hadir sebagai lembaga intermediasi keuangan yang tidak hanya berorientasi pada profit, tetapi juga berlandaskan prinsi</w:t>
      </w:r>
      <w:r>
        <w:t>p-prinsip syariah dalam menjalankan aktivitas operasionalnya. Keberadaan bank syariah memiliki peran strategis dalam mendukung sistem keuangan nasional, khususnya dalam menyediakan layanan keuangan yang adil, transparan, dan bebas dari praktik riba [1]. Di</w:t>
      </w:r>
      <w:r>
        <w:t xml:space="preserve"> tengah persaingan industri perbankan yang </w:t>
      </w:r>
      <w:r>
        <w:lastRenderedPageBreak/>
        <w:t>semakin kompetitif, bank syariah dituntut untuk mampu meningkatkan kinerja keuangan agar dapat mempertahankan kepercayaan masyarakat dan memperkuat daya saing perusahaan.</w:t>
      </w:r>
    </w:p>
    <w:p w:rsidR="00E6409E" w:rsidRDefault="00017D78">
      <w:pPr>
        <w:spacing w:after="120"/>
        <w:ind w:firstLine="425"/>
        <w:jc w:val="both"/>
      </w:pPr>
      <w:r>
        <w:t>Kinerja keuangan bank syariah umumnya diuk</w:t>
      </w:r>
      <w:r>
        <w:t xml:space="preserve">ur melalui rasio profitabilitas, salah satunya </w:t>
      </w:r>
      <w:proofErr w:type="gramStart"/>
      <w:r>
        <w:rPr>
          <w:i/>
          <w:iCs/>
        </w:rPr>
        <w:t>Return</w:t>
      </w:r>
      <w:proofErr w:type="gramEnd"/>
      <w:r>
        <w:rPr>
          <w:i/>
          <w:iCs/>
        </w:rPr>
        <w:t xml:space="preserve"> on Assets</w:t>
      </w:r>
      <w:r>
        <w:t xml:space="preserve"> (ROA). ROA menunjukkan kemampuan perusahaan dalam memanfaatkan aset yang dimiliki untuk menghasilkan laba [2]. Tingginya tingkat profitabilitas mencerminkan efektivitas pengelolaan sumber daya</w:t>
      </w:r>
      <w:r>
        <w:t xml:space="preserve"> perusahaan, sehingga menjadi indikator penting dalam menilai keberhasilan operasional bank syariah. Namun, kondisi kinerja keuangan bank syariah di Indonesia masih mengalami fluktuasi, terutama pada periode pascapandemi COVID-19 yang menyebabkan perubahan</w:t>
      </w:r>
      <w:r>
        <w:t xml:space="preserve"> pada stabilitas industri keuangan dan perilaku nasabah.</w:t>
      </w:r>
    </w:p>
    <w:p w:rsidR="00E6409E" w:rsidRDefault="00017D78">
      <w:pPr>
        <w:spacing w:after="120"/>
        <w:ind w:firstLine="425"/>
        <w:jc w:val="both"/>
      </w:pPr>
      <w:r>
        <w:t xml:space="preserve">Dalam menghadapi tantangan tersebut, bank syariah perlu mengoptimalkan aset tidak berwujud atau </w:t>
      </w:r>
      <w:r>
        <w:rPr>
          <w:i/>
          <w:iCs/>
        </w:rPr>
        <w:t>intangible assets</w:t>
      </w:r>
      <w:r>
        <w:t xml:space="preserve">, khususnya </w:t>
      </w:r>
      <w:r>
        <w:rPr>
          <w:i/>
          <w:iCs/>
        </w:rPr>
        <w:t>Intellectual Capital</w:t>
      </w:r>
      <w:r>
        <w:t xml:space="preserve"> (IC). </w:t>
      </w:r>
      <w:r>
        <w:rPr>
          <w:i/>
          <w:iCs/>
        </w:rPr>
        <w:t>Intellectual Capital</w:t>
      </w:r>
      <w:r>
        <w:t xml:space="preserve"> merupakan sumber daya berb</w:t>
      </w:r>
      <w:r>
        <w:t xml:space="preserve">asis pengetahuan yang mencakup kemampuan sumber daya manusia, sistem organisasi, dan relasi perusahaan yang dapat menciptakan nilai tambah bagi perusahaan [3]. Pengelolaan </w:t>
      </w:r>
      <w:r>
        <w:rPr>
          <w:i/>
          <w:iCs/>
        </w:rPr>
        <w:t>Intellectual Capital</w:t>
      </w:r>
      <w:r>
        <w:t xml:space="preserve"> yang baik diyakini mampu meningkatkan efisiensi operasional dan</w:t>
      </w:r>
      <w:r>
        <w:t xml:space="preserve"> profitabilitas perusahaan. Dalam konteks perbankan syariah, pengukuran </w:t>
      </w:r>
      <w:r>
        <w:rPr>
          <w:i/>
          <w:iCs/>
        </w:rPr>
        <w:t>Intellectual Capital</w:t>
      </w:r>
      <w:r>
        <w:t xml:space="preserve"> dilakukan menggunakan metode </w:t>
      </w:r>
      <w:r>
        <w:rPr>
          <w:i/>
          <w:iCs/>
        </w:rPr>
        <w:t>Islamic Banking-Value Added Intellectual Coefficient</w:t>
      </w:r>
      <w:r>
        <w:t xml:space="preserve"> (iB-VAIC), yang menyesuaikan karakteristik transaksi syariah [4].</w:t>
      </w:r>
    </w:p>
    <w:p w:rsidR="00E6409E" w:rsidRDefault="00017D78">
      <w:pPr>
        <w:spacing w:after="120"/>
        <w:ind w:firstLine="425"/>
        <w:jc w:val="both"/>
      </w:pPr>
      <w:r>
        <w:t xml:space="preserve">Selain </w:t>
      </w:r>
      <w:r>
        <w:rPr>
          <w:i/>
          <w:iCs/>
        </w:rPr>
        <w:t>Intellec</w:t>
      </w:r>
      <w:r>
        <w:rPr>
          <w:i/>
          <w:iCs/>
        </w:rPr>
        <w:t>tual Capital</w:t>
      </w:r>
      <w:r>
        <w:t xml:space="preserve">, aspek kepatuhan syariah juga menjadi faktor penting dalam menilai keberhasilan bank syariah. Kepatuhan tersebut dapat diukur melalui </w:t>
      </w:r>
      <w:r>
        <w:rPr>
          <w:i/>
          <w:iCs/>
        </w:rPr>
        <w:t>Islamicity Performance Index</w:t>
      </w:r>
      <w:r>
        <w:t xml:space="preserve"> (IPI), yaitu indikator yang digunakan untuk menilai sejauh mana operasional bank</w:t>
      </w:r>
      <w:r>
        <w:t xml:space="preserve"> telah sesuai dengan prinsip-prinsip Islam [5]. Dalam penelitian ini, komponen IPI yang digunakan meliputi </w:t>
      </w:r>
      <w:r>
        <w:rPr>
          <w:i/>
          <w:iCs/>
        </w:rPr>
        <w:t>Profit Sharing Ratio</w:t>
      </w:r>
      <w:r>
        <w:t xml:space="preserve"> (PSR), </w:t>
      </w:r>
      <w:r>
        <w:rPr>
          <w:i/>
          <w:iCs/>
        </w:rPr>
        <w:t>Zakat Performance Ratio</w:t>
      </w:r>
      <w:r>
        <w:t xml:space="preserve"> (ZPR), dan </w:t>
      </w:r>
      <w:r>
        <w:rPr>
          <w:i/>
          <w:iCs/>
        </w:rPr>
        <w:t>Islamic Income versus Non-Islamic Income Ratio</w:t>
      </w:r>
      <w:r>
        <w:t xml:space="preserve"> (IsIR). Ketiga indikator tersebut mence</w:t>
      </w:r>
      <w:r>
        <w:t>rminkan implementasi prinsip keadilan, transparansi, dan kepatuhan syariah dalam aktivitas perbankan.</w:t>
      </w:r>
    </w:p>
    <w:p w:rsidR="00E6409E" w:rsidRDefault="00017D78">
      <w:pPr>
        <w:spacing w:after="120"/>
        <w:ind w:firstLine="425"/>
        <w:jc w:val="both"/>
      </w:pPr>
      <w:r>
        <w:t xml:space="preserve">Secara teoritis, penelitian ini didasarkan pada </w:t>
      </w:r>
      <w:r>
        <w:rPr>
          <w:i/>
          <w:iCs/>
        </w:rPr>
        <w:t>Resource Based Theory</w:t>
      </w:r>
      <w:r>
        <w:t xml:space="preserve"> dan </w:t>
      </w:r>
      <w:r>
        <w:rPr>
          <w:i/>
          <w:iCs/>
        </w:rPr>
        <w:t>Stakeholder Theory</w:t>
      </w:r>
      <w:r>
        <w:t xml:space="preserve">. </w:t>
      </w:r>
      <w:r>
        <w:rPr>
          <w:i/>
          <w:iCs/>
        </w:rPr>
        <w:t>Resource Based Theory</w:t>
      </w:r>
      <w:r>
        <w:t xml:space="preserve"> menjelaskan bahwa perusahaan yang mamp</w:t>
      </w:r>
      <w:r>
        <w:t xml:space="preserve">u mengelola sumber daya strategis, termasuk </w:t>
      </w:r>
      <w:r>
        <w:rPr>
          <w:i/>
          <w:iCs/>
        </w:rPr>
        <w:t>Intellectual Capital</w:t>
      </w:r>
      <w:r>
        <w:t xml:space="preserve">, secara efektif </w:t>
      </w:r>
      <w:proofErr w:type="gramStart"/>
      <w:r>
        <w:t>akan</w:t>
      </w:r>
      <w:proofErr w:type="gramEnd"/>
      <w:r>
        <w:t xml:space="preserve"> memperoleh keunggulan kompetitif dan meningkatkan kinerja perusahaan [6]. Sementara itu, </w:t>
      </w:r>
      <w:r>
        <w:rPr>
          <w:i/>
          <w:iCs/>
        </w:rPr>
        <w:t>Stakeholder Theory</w:t>
      </w:r>
      <w:r>
        <w:t xml:space="preserve"> menegaskan bahwa perusahaan tidak hanya bertanggung jawab kepa</w:t>
      </w:r>
      <w:r>
        <w:t>da pemegang saham, tetapi juga kepada seluruh pemangku kepentingan melalui penciptaan nilai dan kepatuhan terhadap prinsip etika, termasuk prinsip syariah [7].</w:t>
      </w:r>
    </w:p>
    <w:p w:rsidR="00E6409E" w:rsidRDefault="00017D78">
      <w:pPr>
        <w:spacing w:after="120"/>
        <w:ind w:firstLine="425"/>
        <w:jc w:val="both"/>
      </w:pPr>
      <w:r>
        <w:t xml:space="preserve">Meskipun penelitian mengenai </w:t>
      </w:r>
      <w:r>
        <w:rPr>
          <w:i/>
          <w:iCs/>
        </w:rPr>
        <w:t>Intellectual Capital</w:t>
      </w:r>
      <w:r>
        <w:t xml:space="preserve"> dan </w:t>
      </w:r>
      <w:r>
        <w:rPr>
          <w:i/>
          <w:iCs/>
        </w:rPr>
        <w:t>Islamicity Performance Index</w:t>
      </w:r>
      <w:r>
        <w:t xml:space="preserve"> telah banyak </w:t>
      </w:r>
      <w:r>
        <w:t xml:space="preserve">dilakukan, hasil penelitian sebelumnya masih menunjukkan inkonsistensi. Beberapa penelitian menemukan bahwa </w:t>
      </w:r>
      <w:r>
        <w:rPr>
          <w:i/>
          <w:iCs/>
        </w:rPr>
        <w:t>Intellectual Capital</w:t>
      </w:r>
      <w:r>
        <w:t xml:space="preserve"> berpengaruh positif terhadap kinerja keuangan bank syariah, sedangkan penelitian lain menunjukkan pengaruh yang lemah atau tidak signifikan [8]. Selain itu, penelitian mengenai </w:t>
      </w:r>
      <w:r>
        <w:rPr>
          <w:i/>
          <w:iCs/>
        </w:rPr>
        <w:t>Islamicity Performance Index</w:t>
      </w:r>
      <w:r>
        <w:t xml:space="preserve"> masih relatif terbatas dan umumnya hanya berfokus</w:t>
      </w:r>
      <w:r>
        <w:t xml:space="preserve"> pada aspek tertentu tanpa mengintegrasikan dimensi </w:t>
      </w:r>
      <w:r>
        <w:rPr>
          <w:i/>
          <w:iCs/>
        </w:rPr>
        <w:t>Intellectual Capital</w:t>
      </w:r>
      <w:r>
        <w:t xml:space="preserve"> secara simultan [9]. Kesenjangan penelitian tersebut menunjukkan perlunya kajian lebih lanjut mengenai pengaruh </w:t>
      </w:r>
      <w:r>
        <w:rPr>
          <w:i/>
          <w:iCs/>
        </w:rPr>
        <w:t>Intellectual Capital</w:t>
      </w:r>
      <w:r>
        <w:t xml:space="preserve"> dan </w:t>
      </w:r>
      <w:r>
        <w:rPr>
          <w:i/>
          <w:iCs/>
        </w:rPr>
        <w:t>Islamicity Performance Index</w:t>
      </w:r>
      <w:r>
        <w:t xml:space="preserve"> terhadap kinerja </w:t>
      </w:r>
      <w:r>
        <w:t>keuangan bank syariah, khususnya pada periode 2021-2024 yang merupakan masa pemulihan pascapandemi dan konsolidasi industri perbankan syariah di Indonesia.</w:t>
      </w:r>
    </w:p>
    <w:p w:rsidR="00E6409E" w:rsidRDefault="00017D78">
      <w:pPr>
        <w:spacing w:after="120"/>
        <w:ind w:firstLine="425"/>
        <w:jc w:val="both"/>
      </w:pPr>
      <w:r>
        <w:t xml:space="preserve">Berdasarkan uraian tersebut, penelitian ini bertujuan untuk menganalisis pengaruh </w:t>
      </w:r>
      <w:r>
        <w:rPr>
          <w:i/>
          <w:iCs/>
        </w:rPr>
        <w:t>Intellectual Capit</w:t>
      </w:r>
      <w:r>
        <w:rPr>
          <w:i/>
          <w:iCs/>
        </w:rPr>
        <w:t>al</w:t>
      </w:r>
      <w:r>
        <w:t xml:space="preserve"> dan </w:t>
      </w:r>
      <w:r>
        <w:rPr>
          <w:i/>
          <w:iCs/>
        </w:rPr>
        <w:t>Islamicity Performance Index</w:t>
      </w:r>
      <w:r>
        <w:t xml:space="preserve"> terhadap kinerja keuangan Bank Umum Syariah di Indonesia. Penelitian ini diharapkan dapat memberikan kontribusi teoritis dalam pengembangan literatur akuntansi syariah dan manajemen perbankan syariah, serta menjadi bahan</w:t>
      </w:r>
      <w:r>
        <w:t xml:space="preserve"> pertimbangan bagi manajemen bank dan regulator dalam meningkatkan kualitas kinerja industri perbankan syariah di Indonesia.</w:t>
      </w:r>
    </w:p>
    <w:p w:rsidR="00E6409E" w:rsidRDefault="00017D78">
      <w:pPr>
        <w:spacing w:before="240" w:after="120"/>
      </w:pPr>
      <w:r>
        <w:rPr>
          <w:b/>
          <w:bCs/>
        </w:rPr>
        <w:t>2. METODE PENELITIAN</w:t>
      </w:r>
    </w:p>
    <w:p w:rsidR="00E6409E" w:rsidRDefault="00017D78">
      <w:pPr>
        <w:spacing w:after="120"/>
        <w:ind w:firstLine="425"/>
        <w:jc w:val="both"/>
      </w:pPr>
      <w:r>
        <w:t>Penelitian ini menggunakan pendekatan kuantitatif dengan metode deskriptif. Pendekatan kuantitatif digunakan k</w:t>
      </w:r>
      <w:r>
        <w:t xml:space="preserve">arena penelitian dilakukan dengan mengolah data berbentuk angka yang kemudian dianalisis secara statistik untuk mengetahui pengaruh </w:t>
      </w:r>
      <w:r>
        <w:rPr>
          <w:i/>
          <w:iCs/>
        </w:rPr>
        <w:t>Intellectual Capital</w:t>
      </w:r>
      <w:r>
        <w:t xml:space="preserve"> dan </w:t>
      </w:r>
      <w:r>
        <w:rPr>
          <w:i/>
          <w:iCs/>
        </w:rPr>
        <w:t>Islamicity Performance Index</w:t>
      </w:r>
      <w:r>
        <w:t xml:space="preserve"> terhadap kinerja keuangan bank syariah [10]. Penelitian ini bertujuan </w:t>
      </w:r>
      <w:r>
        <w:t xml:space="preserve">untuk menguji hubungan antara variabel independen yang terdiri dari </w:t>
      </w:r>
      <w:r>
        <w:rPr>
          <w:i/>
          <w:iCs/>
        </w:rPr>
        <w:t>Intellectual Capital, Profit Sharing Ratio</w:t>
      </w:r>
      <w:r>
        <w:t xml:space="preserve"> (PSR), </w:t>
      </w:r>
      <w:r>
        <w:rPr>
          <w:i/>
          <w:iCs/>
        </w:rPr>
        <w:t>Zakat Performance Ratio</w:t>
      </w:r>
      <w:r>
        <w:t xml:space="preserve"> (ZPR), dan </w:t>
      </w:r>
      <w:r>
        <w:rPr>
          <w:i/>
          <w:iCs/>
        </w:rPr>
        <w:t>Islamic Income versus Non-Islamic Income Ratio</w:t>
      </w:r>
      <w:r>
        <w:t xml:space="preserve"> (IsIR) terhadap variabel dependen yaitu kinerja keuangan</w:t>
      </w:r>
      <w:r>
        <w:t xml:space="preserve"> yang diproksikan dengan </w:t>
      </w:r>
      <w:r>
        <w:rPr>
          <w:i/>
          <w:iCs/>
        </w:rPr>
        <w:t>Return on Assets</w:t>
      </w:r>
      <w:r>
        <w:t xml:space="preserve"> (ROA).</w:t>
      </w:r>
    </w:p>
    <w:p w:rsidR="00E6409E" w:rsidRDefault="00017D78">
      <w:pPr>
        <w:spacing w:after="120"/>
        <w:ind w:firstLine="425"/>
        <w:jc w:val="both"/>
      </w:pPr>
      <w:r>
        <w:t>Data yang digunakan dalam penelitian ini merupakan data sekunder berupa laporan tahunan (</w:t>
      </w:r>
      <w:r>
        <w:rPr>
          <w:i/>
          <w:iCs/>
        </w:rPr>
        <w:t>annual report</w:t>
      </w:r>
      <w:r>
        <w:t>) Bank Umum Syariah di Indonesia periode 2021-2024 yang diperoleh melalui situs resmi Otoritas Jasa Keuan</w:t>
      </w:r>
      <w:r>
        <w:t>gan (OJK) dan website masing-masing bank syariah. Penggunaan data sekunder dipilih karena data yang digunakan telah dipublikasikan secara resmi sehingga lebih objektif dan mudah diakses untuk kebutuhan penelitian ilmiah.</w:t>
      </w:r>
    </w:p>
    <w:p w:rsidR="00E6409E" w:rsidRDefault="00017D78">
      <w:pPr>
        <w:spacing w:after="120"/>
        <w:ind w:firstLine="425"/>
        <w:jc w:val="both"/>
      </w:pPr>
      <w:r>
        <w:t>Populasi dalam penelitian ini adala</w:t>
      </w:r>
      <w:r>
        <w:t xml:space="preserve">h seluruh Bank Umum Syariah yang beroperasi di Indonesia selama periode 2021-2024 sebanyak 14 bank. Teknik pengambilan sampel menggunakan </w:t>
      </w:r>
      <w:r>
        <w:rPr>
          <w:i/>
          <w:iCs/>
        </w:rPr>
        <w:t>purposive sampling</w:t>
      </w:r>
      <w:r>
        <w:t>, yaitu teknik penentuan sampel berdasarkan kriteria tertentu agar sampel yang dipilih sesuai dengan</w:t>
      </w:r>
      <w:r>
        <w:t xml:space="preserve"> tujuan penelitian. Adapun kriteria sampel dalam penelitian ini meliputi: (1) Bank Umum Syariah yang mempublikasikan laporan tahunan secara lengkap selama </w:t>
      </w:r>
      <w:r>
        <w:lastRenderedPageBreak/>
        <w:t xml:space="preserve">periode 2021-2024; (2) bank yang memiliki kelengkapan data terkait variabel penelitian; dan (3) bank </w:t>
      </w:r>
      <w:r>
        <w:t xml:space="preserve">yang menyediakan informasi mengenai iB-VAIC, </w:t>
      </w:r>
      <w:r>
        <w:rPr>
          <w:i/>
          <w:iCs/>
        </w:rPr>
        <w:t>Profit Sharing Ratio, Zakat Performance Ratio, Islamic Income Ratio</w:t>
      </w:r>
      <w:r>
        <w:t>, serta ROA. Berdasarkan kriteria tersebut diperoleh sebanyak 8 Bank Umum Syariah sebagai sampel penelitian.</w:t>
      </w:r>
    </w:p>
    <w:p w:rsidR="00E6409E" w:rsidRDefault="00017D78">
      <w:pPr>
        <w:spacing w:after="120"/>
        <w:ind w:firstLine="425"/>
        <w:jc w:val="both"/>
      </w:pPr>
      <w:r>
        <w:t>Teknik pengumpulan data dilakukan m</w:t>
      </w:r>
      <w:r>
        <w:t>elalui studi dokumentasi dan studi pustaka. Studi dokumentasi dilakukan dengan mengumpulkan laporan keuangan dan laporan tahunan bank syariah yang menjadi sampel penelitian. Sementara itu, studi pustaka dilakukan dengan mengumpulkan berbagai referensi beru</w:t>
      </w:r>
      <w:r>
        <w:t>pa buku, jurnal ilmiah, dan penelitian terdahulu yang relevan dengan topik penelitian [11].</w:t>
      </w:r>
    </w:p>
    <w:p w:rsidR="00E6409E" w:rsidRDefault="00017D78">
      <w:pPr>
        <w:spacing w:after="120"/>
        <w:ind w:firstLine="425"/>
        <w:jc w:val="both"/>
      </w:pPr>
      <w:r>
        <w:t>Teknik analisis data yang digunakan dalam penelitian ini adalah analisis regresi data panel dengan bantuan aplikasi EViews 13. Regresi data panel digunakan karena d</w:t>
      </w:r>
      <w:r>
        <w:t xml:space="preserve">ata penelitian merupakan gabungan antara data </w:t>
      </w:r>
      <w:r>
        <w:rPr>
          <w:i/>
          <w:iCs/>
        </w:rPr>
        <w:t>cross section</w:t>
      </w:r>
      <w:r>
        <w:t xml:space="preserve"> dan </w:t>
      </w:r>
      <w:r>
        <w:rPr>
          <w:i/>
          <w:iCs/>
        </w:rPr>
        <w:t>time series</w:t>
      </w:r>
      <w:r>
        <w:t>, sehingga mampu memberikan hasil analisis yang lebih informatif dan efisien [12]. Tahapan analisis data meliputi analisis statistik deskriptif, uji asumsi klasik, pemilihan model r</w:t>
      </w:r>
      <w:r>
        <w:t xml:space="preserve">egresi data panel melalui </w:t>
      </w:r>
      <w:r>
        <w:rPr>
          <w:i/>
          <w:iCs/>
        </w:rPr>
        <w:t>Common Effect Model</w:t>
      </w:r>
      <w:r>
        <w:t xml:space="preserve"> (CEM), </w:t>
      </w:r>
      <w:r>
        <w:rPr>
          <w:i/>
          <w:iCs/>
        </w:rPr>
        <w:t>Fixed Effect Model</w:t>
      </w:r>
      <w:r>
        <w:t xml:space="preserve"> (FEM), dan </w:t>
      </w:r>
      <w:r>
        <w:rPr>
          <w:i/>
          <w:iCs/>
        </w:rPr>
        <w:t>Random Effect Model</w:t>
      </w:r>
      <w:r>
        <w:t xml:space="preserve"> (REM), serta pengujian hipotesis menggunakan uji t, uji F, dan koefisien determinasi (R²).</w:t>
      </w:r>
    </w:p>
    <w:p w:rsidR="00E6409E" w:rsidRDefault="00017D78">
      <w:pPr>
        <w:spacing w:after="120"/>
        <w:ind w:firstLine="425"/>
        <w:jc w:val="both"/>
      </w:pPr>
      <w:r>
        <w:t>Penelitian ini memiliki beberapa keterbatasan. Pertama, peneli</w:t>
      </w:r>
      <w:r>
        <w:t>tian hanya menggunakan sampel Bank Umum Syariah di Indonesia sehingga hasil penelitian belum dapat digeneralisasikan pada seluruh lembaga keuangan syariah. Kedua, periode penelitian yang digunakan relatif singkat, yaitu tahun 2021-2024, sehingga belum sepe</w:t>
      </w:r>
      <w:r>
        <w:t xml:space="preserve">nuhnya menggambarkan kondisi jangka panjang industri perbankan syariah. Ketiga, tidak seluruh komponen </w:t>
      </w:r>
      <w:r>
        <w:rPr>
          <w:i/>
          <w:iCs/>
        </w:rPr>
        <w:t>Islamicity Performance Index</w:t>
      </w:r>
      <w:r>
        <w:t xml:space="preserve"> digunakan dalam penelitian karena keterbatasan data dan relevansi indikator yang tersedia dalam laporan tahunan bank syariah</w:t>
      </w:r>
      <w:r>
        <w:t>. Selain itu, kendala yang dihadapi peneliti adalah adanya beberapa data laporan tahunan yang tidak dipublikasikan secara lengkap sehingga membatasi jumlah sampel yang dapat digunakan dalam penelitian.</w:t>
      </w:r>
    </w:p>
    <w:p w:rsidR="00E6409E" w:rsidRDefault="00017D78">
      <w:pPr>
        <w:spacing w:before="240" w:after="120"/>
      </w:pPr>
      <w:r>
        <w:rPr>
          <w:b/>
          <w:bCs/>
        </w:rPr>
        <w:t>3. HASIL DAN PEMBAHASAN</w:t>
      </w:r>
    </w:p>
    <w:p w:rsidR="00E6409E" w:rsidRDefault="00017D78">
      <w:pPr>
        <w:spacing w:before="80" w:after="100"/>
        <w:jc w:val="center"/>
      </w:pPr>
      <w:r>
        <w:rPr>
          <w:b/>
          <w:bCs/>
        </w:rPr>
        <w:t>Table 1. Hasil Regresi Data Pa</w:t>
      </w:r>
      <w:r>
        <w:rPr>
          <w:b/>
          <w:bCs/>
        </w:rPr>
        <w:t>nel</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1600"/>
        <w:gridCol w:w="1600"/>
        <w:gridCol w:w="1600"/>
      </w:tblGrid>
      <w:tr w:rsidR="00E6409E">
        <w:tblPrEx>
          <w:tblCellMar>
            <w:top w:w="0" w:type="dxa"/>
            <w:bottom w:w="0" w:type="dxa"/>
          </w:tblCellMar>
        </w:tblPrEx>
        <w:trPr>
          <w:tblHeader/>
        </w:trPr>
        <w:tc>
          <w:tcPr>
            <w:tcW w:w="1600" w:type="dxa"/>
            <w:shd w:val="clear" w:color="auto" w:fill="D9D9D9"/>
            <w:vAlign w:val="center"/>
          </w:tcPr>
          <w:p w:rsidR="00E6409E" w:rsidRDefault="00017D78">
            <w:pPr>
              <w:jc w:val="center"/>
            </w:pPr>
            <w:r>
              <w:rPr>
                <w:b/>
                <w:bCs/>
                <w:sz w:val="18"/>
                <w:szCs w:val="18"/>
              </w:rPr>
              <w:t>Variable</w:t>
            </w:r>
          </w:p>
        </w:tc>
        <w:tc>
          <w:tcPr>
            <w:tcW w:w="1600" w:type="dxa"/>
            <w:shd w:val="clear" w:color="auto" w:fill="D9D9D9"/>
            <w:vAlign w:val="center"/>
          </w:tcPr>
          <w:p w:rsidR="00E6409E" w:rsidRDefault="00017D78">
            <w:pPr>
              <w:jc w:val="center"/>
            </w:pPr>
            <w:r>
              <w:rPr>
                <w:b/>
                <w:bCs/>
                <w:sz w:val="18"/>
                <w:szCs w:val="18"/>
              </w:rPr>
              <w:t>Coefficient</w:t>
            </w:r>
          </w:p>
        </w:tc>
        <w:tc>
          <w:tcPr>
            <w:tcW w:w="1600" w:type="dxa"/>
            <w:shd w:val="clear" w:color="auto" w:fill="D9D9D9"/>
            <w:vAlign w:val="center"/>
          </w:tcPr>
          <w:p w:rsidR="00E6409E" w:rsidRDefault="00017D78">
            <w:pPr>
              <w:jc w:val="center"/>
            </w:pPr>
            <w:r>
              <w:rPr>
                <w:b/>
                <w:bCs/>
                <w:sz w:val="18"/>
                <w:szCs w:val="18"/>
              </w:rPr>
              <w:t>Std. Error</w:t>
            </w:r>
          </w:p>
        </w:tc>
        <w:tc>
          <w:tcPr>
            <w:tcW w:w="1600" w:type="dxa"/>
            <w:shd w:val="clear" w:color="auto" w:fill="D9D9D9"/>
            <w:vAlign w:val="center"/>
          </w:tcPr>
          <w:p w:rsidR="00E6409E" w:rsidRDefault="00017D78">
            <w:pPr>
              <w:jc w:val="center"/>
            </w:pPr>
            <w:r>
              <w:rPr>
                <w:b/>
                <w:bCs/>
                <w:sz w:val="18"/>
                <w:szCs w:val="18"/>
              </w:rPr>
              <w:t>t-Statistic</w:t>
            </w:r>
          </w:p>
        </w:tc>
        <w:tc>
          <w:tcPr>
            <w:tcW w:w="1600" w:type="dxa"/>
            <w:shd w:val="clear" w:color="auto" w:fill="D9D9D9"/>
            <w:vAlign w:val="center"/>
          </w:tcPr>
          <w:p w:rsidR="00E6409E" w:rsidRDefault="00017D78">
            <w:pPr>
              <w:jc w:val="center"/>
            </w:pPr>
            <w:r>
              <w:rPr>
                <w:b/>
                <w:bCs/>
                <w:sz w:val="18"/>
                <w:szCs w:val="18"/>
              </w:rPr>
              <w:t>Prob.</w:t>
            </w:r>
          </w:p>
        </w:tc>
      </w:tr>
      <w:tr w:rsidR="00E6409E">
        <w:tblPrEx>
          <w:tblCellMar>
            <w:top w:w="0" w:type="dxa"/>
            <w:bottom w:w="0" w:type="dxa"/>
          </w:tblCellMar>
        </w:tblPrEx>
        <w:tc>
          <w:tcPr>
            <w:tcW w:w="1600" w:type="dxa"/>
            <w:vAlign w:val="center"/>
          </w:tcPr>
          <w:p w:rsidR="00E6409E" w:rsidRDefault="00017D78">
            <w:r>
              <w:rPr>
                <w:sz w:val="18"/>
                <w:szCs w:val="18"/>
              </w:rPr>
              <w:t>C</w:t>
            </w:r>
          </w:p>
        </w:tc>
        <w:tc>
          <w:tcPr>
            <w:tcW w:w="1600" w:type="dxa"/>
            <w:vAlign w:val="center"/>
          </w:tcPr>
          <w:p w:rsidR="00E6409E" w:rsidRDefault="00017D78">
            <w:pPr>
              <w:jc w:val="center"/>
            </w:pPr>
            <w:r>
              <w:rPr>
                <w:sz w:val="18"/>
                <w:szCs w:val="18"/>
              </w:rPr>
              <w:t>1.926155</w:t>
            </w:r>
          </w:p>
        </w:tc>
        <w:tc>
          <w:tcPr>
            <w:tcW w:w="1600" w:type="dxa"/>
            <w:vAlign w:val="center"/>
          </w:tcPr>
          <w:p w:rsidR="00E6409E" w:rsidRDefault="00017D78">
            <w:pPr>
              <w:jc w:val="center"/>
            </w:pPr>
            <w:r>
              <w:rPr>
                <w:sz w:val="18"/>
                <w:szCs w:val="18"/>
              </w:rPr>
              <w:t>1.817524</w:t>
            </w:r>
          </w:p>
        </w:tc>
        <w:tc>
          <w:tcPr>
            <w:tcW w:w="1600" w:type="dxa"/>
            <w:vAlign w:val="center"/>
          </w:tcPr>
          <w:p w:rsidR="00E6409E" w:rsidRDefault="00017D78">
            <w:pPr>
              <w:jc w:val="center"/>
            </w:pPr>
            <w:r>
              <w:rPr>
                <w:sz w:val="18"/>
                <w:szCs w:val="18"/>
              </w:rPr>
              <w:t>1.059769</w:t>
            </w:r>
          </w:p>
        </w:tc>
        <w:tc>
          <w:tcPr>
            <w:tcW w:w="1600" w:type="dxa"/>
            <w:vAlign w:val="center"/>
          </w:tcPr>
          <w:p w:rsidR="00E6409E" w:rsidRDefault="00017D78">
            <w:pPr>
              <w:jc w:val="center"/>
            </w:pPr>
            <w:r>
              <w:rPr>
                <w:sz w:val="18"/>
                <w:szCs w:val="18"/>
              </w:rPr>
              <w:t>0.3019</w:t>
            </w:r>
          </w:p>
        </w:tc>
      </w:tr>
      <w:tr w:rsidR="00E6409E">
        <w:tblPrEx>
          <w:tblCellMar>
            <w:top w:w="0" w:type="dxa"/>
            <w:bottom w:w="0" w:type="dxa"/>
          </w:tblCellMar>
        </w:tblPrEx>
        <w:tc>
          <w:tcPr>
            <w:tcW w:w="1600" w:type="dxa"/>
            <w:vAlign w:val="center"/>
          </w:tcPr>
          <w:p w:rsidR="00E6409E" w:rsidRDefault="00017D78">
            <w:r>
              <w:rPr>
                <w:sz w:val="18"/>
                <w:szCs w:val="18"/>
              </w:rPr>
              <w:t>IC</w:t>
            </w:r>
          </w:p>
        </w:tc>
        <w:tc>
          <w:tcPr>
            <w:tcW w:w="1600" w:type="dxa"/>
            <w:vAlign w:val="center"/>
          </w:tcPr>
          <w:p w:rsidR="00E6409E" w:rsidRDefault="00017D78">
            <w:pPr>
              <w:jc w:val="center"/>
            </w:pPr>
            <w:r>
              <w:rPr>
                <w:sz w:val="18"/>
                <w:szCs w:val="18"/>
              </w:rPr>
              <w:t>0.002296</w:t>
            </w:r>
          </w:p>
        </w:tc>
        <w:tc>
          <w:tcPr>
            <w:tcW w:w="1600" w:type="dxa"/>
            <w:vAlign w:val="center"/>
          </w:tcPr>
          <w:p w:rsidR="00E6409E" w:rsidRDefault="00017D78">
            <w:pPr>
              <w:jc w:val="center"/>
            </w:pPr>
            <w:r>
              <w:rPr>
                <w:sz w:val="18"/>
                <w:szCs w:val="18"/>
              </w:rPr>
              <w:t>0.000785</w:t>
            </w:r>
          </w:p>
        </w:tc>
        <w:tc>
          <w:tcPr>
            <w:tcW w:w="1600" w:type="dxa"/>
            <w:vAlign w:val="center"/>
          </w:tcPr>
          <w:p w:rsidR="00E6409E" w:rsidRDefault="00017D78">
            <w:pPr>
              <w:jc w:val="center"/>
            </w:pPr>
            <w:r>
              <w:rPr>
                <w:sz w:val="18"/>
                <w:szCs w:val="18"/>
              </w:rPr>
              <w:t>2.925974</w:t>
            </w:r>
          </w:p>
        </w:tc>
        <w:tc>
          <w:tcPr>
            <w:tcW w:w="1600" w:type="dxa"/>
            <w:vAlign w:val="center"/>
          </w:tcPr>
          <w:p w:rsidR="00E6409E" w:rsidRDefault="00017D78">
            <w:pPr>
              <w:jc w:val="center"/>
            </w:pPr>
            <w:r>
              <w:rPr>
                <w:sz w:val="18"/>
                <w:szCs w:val="18"/>
              </w:rPr>
              <w:t>0.0084</w:t>
            </w:r>
          </w:p>
        </w:tc>
      </w:tr>
      <w:tr w:rsidR="00E6409E">
        <w:tblPrEx>
          <w:tblCellMar>
            <w:top w:w="0" w:type="dxa"/>
            <w:bottom w:w="0" w:type="dxa"/>
          </w:tblCellMar>
        </w:tblPrEx>
        <w:tc>
          <w:tcPr>
            <w:tcW w:w="1600" w:type="dxa"/>
            <w:vAlign w:val="center"/>
          </w:tcPr>
          <w:p w:rsidR="00E6409E" w:rsidRDefault="00017D78">
            <w:r>
              <w:rPr>
                <w:sz w:val="18"/>
                <w:szCs w:val="18"/>
              </w:rPr>
              <w:t>PSR</w:t>
            </w:r>
          </w:p>
        </w:tc>
        <w:tc>
          <w:tcPr>
            <w:tcW w:w="1600" w:type="dxa"/>
            <w:vAlign w:val="center"/>
          </w:tcPr>
          <w:p w:rsidR="00E6409E" w:rsidRDefault="00017D78">
            <w:pPr>
              <w:jc w:val="center"/>
            </w:pPr>
            <w:r>
              <w:rPr>
                <w:sz w:val="18"/>
                <w:szCs w:val="18"/>
              </w:rPr>
              <w:t>-0.060100</w:t>
            </w:r>
          </w:p>
        </w:tc>
        <w:tc>
          <w:tcPr>
            <w:tcW w:w="1600" w:type="dxa"/>
            <w:vAlign w:val="center"/>
          </w:tcPr>
          <w:p w:rsidR="00E6409E" w:rsidRDefault="00017D78">
            <w:pPr>
              <w:jc w:val="center"/>
            </w:pPr>
            <w:r>
              <w:rPr>
                <w:sz w:val="18"/>
                <w:szCs w:val="18"/>
              </w:rPr>
              <w:t>0.049800</w:t>
            </w:r>
          </w:p>
        </w:tc>
        <w:tc>
          <w:tcPr>
            <w:tcW w:w="1600" w:type="dxa"/>
            <w:vAlign w:val="center"/>
          </w:tcPr>
          <w:p w:rsidR="00E6409E" w:rsidRDefault="00017D78">
            <w:pPr>
              <w:jc w:val="center"/>
            </w:pPr>
            <w:r>
              <w:rPr>
                <w:sz w:val="18"/>
                <w:szCs w:val="18"/>
              </w:rPr>
              <w:t>-1.206832</w:t>
            </w:r>
          </w:p>
        </w:tc>
        <w:tc>
          <w:tcPr>
            <w:tcW w:w="1600" w:type="dxa"/>
            <w:vAlign w:val="center"/>
          </w:tcPr>
          <w:p w:rsidR="00E6409E" w:rsidRDefault="00017D78">
            <w:pPr>
              <w:jc w:val="center"/>
            </w:pPr>
            <w:r>
              <w:rPr>
                <w:sz w:val="18"/>
                <w:szCs w:val="18"/>
              </w:rPr>
              <w:t>0.2416</w:t>
            </w:r>
          </w:p>
        </w:tc>
      </w:tr>
      <w:tr w:rsidR="00E6409E">
        <w:tblPrEx>
          <w:tblCellMar>
            <w:top w:w="0" w:type="dxa"/>
            <w:bottom w:w="0" w:type="dxa"/>
          </w:tblCellMar>
        </w:tblPrEx>
        <w:tc>
          <w:tcPr>
            <w:tcW w:w="1600" w:type="dxa"/>
            <w:vAlign w:val="center"/>
          </w:tcPr>
          <w:p w:rsidR="00E6409E" w:rsidRDefault="00017D78">
            <w:r>
              <w:rPr>
                <w:sz w:val="18"/>
                <w:szCs w:val="18"/>
              </w:rPr>
              <w:t>ZPR</w:t>
            </w:r>
          </w:p>
        </w:tc>
        <w:tc>
          <w:tcPr>
            <w:tcW w:w="1600" w:type="dxa"/>
            <w:vAlign w:val="center"/>
          </w:tcPr>
          <w:p w:rsidR="00E6409E" w:rsidRDefault="00017D78">
            <w:pPr>
              <w:jc w:val="center"/>
            </w:pPr>
            <w:r>
              <w:rPr>
                <w:sz w:val="18"/>
                <w:szCs w:val="18"/>
              </w:rPr>
              <w:t>16.90182</w:t>
            </w:r>
          </w:p>
        </w:tc>
        <w:tc>
          <w:tcPr>
            <w:tcW w:w="1600" w:type="dxa"/>
            <w:vAlign w:val="center"/>
          </w:tcPr>
          <w:p w:rsidR="00E6409E" w:rsidRDefault="00017D78">
            <w:pPr>
              <w:jc w:val="center"/>
            </w:pPr>
            <w:r>
              <w:rPr>
                <w:sz w:val="18"/>
                <w:szCs w:val="18"/>
              </w:rPr>
              <w:t>16.77111</w:t>
            </w:r>
          </w:p>
        </w:tc>
        <w:tc>
          <w:tcPr>
            <w:tcW w:w="1600" w:type="dxa"/>
            <w:vAlign w:val="center"/>
          </w:tcPr>
          <w:p w:rsidR="00E6409E" w:rsidRDefault="00017D78">
            <w:pPr>
              <w:jc w:val="center"/>
            </w:pPr>
            <w:r>
              <w:rPr>
                <w:sz w:val="18"/>
                <w:szCs w:val="18"/>
              </w:rPr>
              <w:t>1.007794</w:t>
            </w:r>
          </w:p>
        </w:tc>
        <w:tc>
          <w:tcPr>
            <w:tcW w:w="1600" w:type="dxa"/>
            <w:vAlign w:val="center"/>
          </w:tcPr>
          <w:p w:rsidR="00E6409E" w:rsidRDefault="00017D78">
            <w:pPr>
              <w:jc w:val="center"/>
            </w:pPr>
            <w:r>
              <w:rPr>
                <w:sz w:val="18"/>
                <w:szCs w:val="18"/>
              </w:rPr>
              <w:t>0.3256</w:t>
            </w:r>
          </w:p>
        </w:tc>
      </w:tr>
      <w:tr w:rsidR="00E6409E">
        <w:tblPrEx>
          <w:tblCellMar>
            <w:top w:w="0" w:type="dxa"/>
            <w:bottom w:w="0" w:type="dxa"/>
          </w:tblCellMar>
        </w:tblPrEx>
        <w:tc>
          <w:tcPr>
            <w:tcW w:w="1600" w:type="dxa"/>
            <w:vAlign w:val="center"/>
          </w:tcPr>
          <w:p w:rsidR="00E6409E" w:rsidRDefault="00017D78">
            <w:r>
              <w:rPr>
                <w:sz w:val="18"/>
                <w:szCs w:val="18"/>
              </w:rPr>
              <w:t>ISIR</w:t>
            </w:r>
          </w:p>
        </w:tc>
        <w:tc>
          <w:tcPr>
            <w:tcW w:w="1600" w:type="dxa"/>
            <w:vAlign w:val="center"/>
          </w:tcPr>
          <w:p w:rsidR="00E6409E" w:rsidRDefault="00017D78">
            <w:pPr>
              <w:jc w:val="center"/>
            </w:pPr>
            <w:r>
              <w:rPr>
                <w:sz w:val="18"/>
                <w:szCs w:val="18"/>
              </w:rPr>
              <w:t>-1.897824</w:t>
            </w:r>
          </w:p>
        </w:tc>
        <w:tc>
          <w:tcPr>
            <w:tcW w:w="1600" w:type="dxa"/>
            <w:vAlign w:val="center"/>
          </w:tcPr>
          <w:p w:rsidR="00E6409E" w:rsidRDefault="00017D78">
            <w:pPr>
              <w:jc w:val="center"/>
            </w:pPr>
            <w:r>
              <w:rPr>
                <w:sz w:val="18"/>
                <w:szCs w:val="18"/>
              </w:rPr>
              <w:t>1.800704</w:t>
            </w:r>
          </w:p>
        </w:tc>
        <w:tc>
          <w:tcPr>
            <w:tcW w:w="1600" w:type="dxa"/>
            <w:vAlign w:val="center"/>
          </w:tcPr>
          <w:p w:rsidR="00E6409E" w:rsidRDefault="00017D78">
            <w:pPr>
              <w:jc w:val="center"/>
            </w:pPr>
            <w:r>
              <w:rPr>
                <w:sz w:val="18"/>
                <w:szCs w:val="18"/>
              </w:rPr>
              <w:t>-1.053934</w:t>
            </w:r>
          </w:p>
        </w:tc>
        <w:tc>
          <w:tcPr>
            <w:tcW w:w="1600" w:type="dxa"/>
            <w:vAlign w:val="center"/>
          </w:tcPr>
          <w:p w:rsidR="00E6409E" w:rsidRDefault="00017D78">
            <w:pPr>
              <w:jc w:val="center"/>
            </w:pPr>
            <w:r>
              <w:rPr>
                <w:sz w:val="18"/>
                <w:szCs w:val="18"/>
              </w:rPr>
              <w:t>0.3045</w:t>
            </w:r>
          </w:p>
        </w:tc>
      </w:tr>
    </w:tbl>
    <w:p w:rsidR="00E6409E" w:rsidRDefault="00017D78">
      <w:pPr>
        <w:spacing w:before="20" w:after="160"/>
        <w:jc w:val="center"/>
      </w:pPr>
      <w:r>
        <w:rPr>
          <w:i/>
          <w:iCs/>
          <w:sz w:val="18"/>
          <w:szCs w:val="18"/>
        </w:rPr>
        <w:t>Sumber: Data diolah dengan EViews 13 (2025). Catatan: naskah asli menampilkan tabel regresi yang identik ini secara berulang di bawah setiap sub-bagian (Gambar 1, 3, dan 4). Tabel tersebut digabungkan menjadi satu tabel di sini agar tidak ada duplikasi, da</w:t>
      </w:r>
      <w:r>
        <w:rPr>
          <w:i/>
          <w:iCs/>
          <w:sz w:val="18"/>
          <w:szCs w:val="18"/>
        </w:rPr>
        <w:t>n dirujuk kembali pada pembahasan setiap variabel.</w:t>
      </w:r>
    </w:p>
    <w:p w:rsidR="00E6409E" w:rsidRDefault="00017D78">
      <w:pPr>
        <w:spacing w:before="200" w:after="120"/>
      </w:pPr>
      <w:r>
        <w:rPr>
          <w:b/>
          <w:bCs/>
          <w:i/>
          <w:iCs/>
        </w:rPr>
        <w:t>Pengaruh Intellectual Capital terhadap Kinerja Keuangan Bank Syariah</w:t>
      </w:r>
    </w:p>
    <w:p w:rsidR="00E6409E" w:rsidRDefault="00017D78">
      <w:pPr>
        <w:spacing w:after="120"/>
        <w:ind w:firstLine="425"/>
        <w:jc w:val="both"/>
      </w:pPr>
      <w:r>
        <w:t xml:space="preserve">Berdasarkan hasil uji regresi data panel pada Tabel 1, </w:t>
      </w:r>
      <w:r>
        <w:rPr>
          <w:i/>
          <w:iCs/>
        </w:rPr>
        <w:t>Intellectual Capital</w:t>
      </w:r>
      <w:r>
        <w:t xml:space="preserve"> berpengaruh positif dan signifikan terhadap kinerja keuangan</w:t>
      </w:r>
      <w:r>
        <w:t xml:space="preserve"> Bank Umum Syariah di Indonesia periode 2021-2024. Hal ini dibuktikan dengan nilai probabilitas sebesar 0</w:t>
      </w:r>
      <w:proofErr w:type="gramStart"/>
      <w:r>
        <w:t>,0084</w:t>
      </w:r>
      <w:proofErr w:type="gramEnd"/>
      <w:r>
        <w:t xml:space="preserve"> &lt; 0,05, sehingga hipotesis diterima. Hasil penelitian menunjukkan bahwa peningkatan </w:t>
      </w:r>
      <w:r>
        <w:rPr>
          <w:i/>
          <w:iCs/>
        </w:rPr>
        <w:t>Intellectual Capital</w:t>
      </w:r>
      <w:r>
        <w:t xml:space="preserve"> mampu meningkatkan kinerja keuangan bank</w:t>
      </w:r>
      <w:r>
        <w:t xml:space="preserve"> syariah melalui pengelolaan sumber daya manusia, teknologi, dan aset tidak berwujud lainnya secara optimal [3].</w:t>
      </w:r>
    </w:p>
    <w:p w:rsidR="00E6409E" w:rsidRDefault="00017D78">
      <w:pPr>
        <w:spacing w:after="120"/>
        <w:ind w:firstLine="425"/>
        <w:jc w:val="both"/>
      </w:pPr>
      <w:r>
        <w:t xml:space="preserve">Temuan ini sejalan dengan penelitian terdahulu yang menyatakan bahwa </w:t>
      </w:r>
      <w:r>
        <w:rPr>
          <w:i/>
          <w:iCs/>
        </w:rPr>
        <w:t>Intellectual Capital</w:t>
      </w:r>
      <w:r>
        <w:t xml:space="preserve"> berpengaruh positif terhadap kinerja keuangan bank sy</w:t>
      </w:r>
      <w:r>
        <w:t xml:space="preserve">ariah [7]. Hal tersebut sesuai dengan </w:t>
      </w:r>
      <w:r>
        <w:rPr>
          <w:i/>
          <w:iCs/>
        </w:rPr>
        <w:t>Resource Based Theory</w:t>
      </w:r>
      <w:r>
        <w:t xml:space="preserve"> yang menjelaskan bahwa keunggulan kompetitif perusahaan dapat diperoleh melalui pengelolaan aset intelektual secara efektif. Dalam perspektif Islam, pentingnya ilmu pengetahuan dijelaskan dalam QS</w:t>
      </w:r>
      <w:r>
        <w:t>. Al-Mujadilah ayat 11 yang menerangkan bahwa Allah meninggikan derajat orang-orang yang beriman dan berilmu. Ayat ini menunjukkan bahwa pengetahuan dan kemampuan intelektual menjadi faktor penting dalam meningkatkan kualitas lembaga, termasuk dalam pengel</w:t>
      </w:r>
      <w:r>
        <w:t>olaan perbankan syariah.</w:t>
      </w:r>
    </w:p>
    <w:p w:rsidR="00E6409E" w:rsidRDefault="00017D78">
      <w:pPr>
        <w:spacing w:before="200" w:after="120"/>
      </w:pPr>
      <w:r>
        <w:rPr>
          <w:b/>
          <w:bCs/>
          <w:i/>
          <w:iCs/>
        </w:rPr>
        <w:t>Pengaruh Profit Sharing Ratio terhadap Kinerja Keuangan Bank Syariah</w:t>
      </w:r>
    </w:p>
    <w:p w:rsidR="00E6409E" w:rsidRDefault="00017D78">
      <w:pPr>
        <w:spacing w:after="120"/>
        <w:ind w:firstLine="425"/>
        <w:jc w:val="both"/>
      </w:pPr>
      <w:r>
        <w:t xml:space="preserve">Hasil penelitian menunjukkan bahwa </w:t>
      </w:r>
      <w:r>
        <w:rPr>
          <w:i/>
          <w:iCs/>
        </w:rPr>
        <w:t>Profit Sharing Ratio</w:t>
      </w:r>
      <w:r>
        <w:t xml:space="preserve"> tidak berpengaruh signifikan terhadap kinerja keuangan bank syariah dengan nilai probabilitas sebesar 0</w:t>
      </w:r>
      <w:proofErr w:type="gramStart"/>
      <w:r>
        <w:t>,2416</w:t>
      </w:r>
      <w:proofErr w:type="gramEnd"/>
      <w:r>
        <w:t xml:space="preserve"> &gt; 0,05 (Tabel 1). Hal ini menunjukkan bahwa pembiayaan berbasis bagi hasil seperti mudharabah dan musyarakah masih memiliki proporsi yang relatif </w:t>
      </w:r>
      <w:r>
        <w:t>kecil dibandingkan pembiayaan lainnya, sehingga belum mampu meningkatkan profitabilitas bank secara signifikan [1].</w:t>
      </w:r>
    </w:p>
    <w:p w:rsidR="00E6409E" w:rsidRDefault="00017D78">
      <w:pPr>
        <w:spacing w:after="120"/>
        <w:ind w:firstLine="425"/>
        <w:jc w:val="both"/>
      </w:pPr>
      <w:r>
        <w:t xml:space="preserve">Hasil penelitian ini sejalan dengan penelitian terdahulu yang menyatakan bahwa </w:t>
      </w:r>
      <w:r>
        <w:rPr>
          <w:i/>
          <w:iCs/>
        </w:rPr>
        <w:t>Profit Sharing Ratio</w:t>
      </w:r>
      <w:r>
        <w:t xml:space="preserve"> tidak berpengaruh terhadap kinerja keuan</w:t>
      </w:r>
      <w:r>
        <w:t xml:space="preserve">gan Bank Umum Syariah di Indonesia [7]. Prinsip bagi hasil dalam perbankan syariah didasarkan pada nilai keadilan dan kerja </w:t>
      </w:r>
      <w:proofErr w:type="gramStart"/>
      <w:r>
        <w:t>sama</w:t>
      </w:r>
      <w:proofErr w:type="gramEnd"/>
      <w:r>
        <w:t xml:space="preserve"> sebagaimana dijelaskan dalam QS. Al-Maidah ayat 2 tentang perintah saling tolong-menolong dalam kebaikan. Namun dalam praktikny</w:t>
      </w:r>
      <w:r>
        <w:t xml:space="preserve">a, rendahnya proporsi pembiayaan berbasis bagi hasil menyebabkan kontribusinya terhadap peningkatan </w:t>
      </w:r>
      <w:r>
        <w:rPr>
          <w:i/>
          <w:iCs/>
        </w:rPr>
        <w:t>Return on Assets</w:t>
      </w:r>
      <w:r>
        <w:t xml:space="preserve"> (ROA) belum optimal.</w:t>
      </w:r>
    </w:p>
    <w:p w:rsidR="00E6409E" w:rsidRDefault="00017D78">
      <w:pPr>
        <w:spacing w:before="200" w:after="120"/>
      </w:pPr>
      <w:r>
        <w:rPr>
          <w:b/>
          <w:bCs/>
          <w:i/>
          <w:iCs/>
        </w:rPr>
        <w:lastRenderedPageBreak/>
        <w:t>Pengaruh Zakat Performance Ratio terhadap Kinerja Keuangan Bank Syariah</w:t>
      </w:r>
    </w:p>
    <w:p w:rsidR="00E6409E" w:rsidRDefault="00017D78">
      <w:pPr>
        <w:spacing w:after="120"/>
        <w:ind w:firstLine="425"/>
        <w:jc w:val="both"/>
      </w:pPr>
      <w:r>
        <w:t xml:space="preserve">Berdasarkan hasil penelitian pada Tabel 1, </w:t>
      </w:r>
      <w:r>
        <w:rPr>
          <w:i/>
          <w:iCs/>
        </w:rPr>
        <w:t>Zakat Performance Ratio</w:t>
      </w:r>
      <w:r>
        <w:t xml:space="preserve"> tidak berpengaruh signifikan terhadap kinerja keuangan bank syariah dengan nilai probabilitas sebesar 0</w:t>
      </w:r>
      <w:proofErr w:type="gramStart"/>
      <w:r>
        <w:t>,3256</w:t>
      </w:r>
      <w:proofErr w:type="gramEnd"/>
      <w:r>
        <w:t xml:space="preserve"> &gt; 0,05 [9]. Hal ini menunjukkan bahwa jumlah zakat yang dikeluarkan bank syariah masih relatif kecil sehingga belum mampu m</w:t>
      </w:r>
      <w:r>
        <w:t>emberikan dampak langsung terhadap peningkatan profitabilitas perusahaan.</w:t>
      </w:r>
    </w:p>
    <w:p w:rsidR="00E6409E" w:rsidRDefault="00017D78">
      <w:pPr>
        <w:spacing w:after="120"/>
        <w:ind w:firstLine="425"/>
        <w:jc w:val="both"/>
      </w:pPr>
      <w:r>
        <w:t>Temuan ini sejalan dengan penelitian terdahulu yang menyatakan bahwa zakat lebih berfungsi sebagai bentuk tanggung jawab sosial dibandingkan sebagai faktor utama peningkatan laba per</w:t>
      </w:r>
      <w:r>
        <w:t>usahaan [13]. Dalam QS. At-Taubah ayat 103 dijelaskan bahwa zakat berfungsi untuk membersihkan dan menyucikan harta. Oleh karena itu, zakat dalam perbankan syariah mencerminkan komitmen sosial dan kepatuhan terhadap prinsip syariah, meskipun pengaruhnya te</w:t>
      </w:r>
      <w:r>
        <w:t>rhadap profitabilitas belum signifikan.</w:t>
      </w:r>
    </w:p>
    <w:p w:rsidR="00E6409E" w:rsidRDefault="00017D78">
      <w:pPr>
        <w:spacing w:before="200" w:after="120"/>
      </w:pPr>
      <w:r>
        <w:rPr>
          <w:b/>
          <w:bCs/>
          <w:i/>
          <w:iCs/>
        </w:rPr>
        <w:t>Pengaruh Islamic Income versus Non-Islamic Income terhadap Kinerja Keuangan</w:t>
      </w:r>
    </w:p>
    <w:p w:rsidR="00E6409E" w:rsidRDefault="00017D78">
      <w:pPr>
        <w:spacing w:after="120"/>
        <w:ind w:firstLine="425"/>
        <w:jc w:val="both"/>
      </w:pPr>
      <w:r>
        <w:t xml:space="preserve">Hasil penelitian menunjukkan bahwa </w:t>
      </w:r>
      <w:r>
        <w:rPr>
          <w:i/>
          <w:iCs/>
        </w:rPr>
        <w:t>Islamic Income versus Non-Islamic Income</w:t>
      </w:r>
      <w:r>
        <w:t xml:space="preserve"> tidak berpengaruh signifikan terhadap kinerja keuangan bank syar</w:t>
      </w:r>
      <w:r>
        <w:t>iah dengan nilai probabilitas sebesar 0</w:t>
      </w:r>
      <w:proofErr w:type="gramStart"/>
      <w:r>
        <w:t>,3045</w:t>
      </w:r>
      <w:proofErr w:type="gramEnd"/>
      <w:r>
        <w:t xml:space="preserve"> &gt; 0,05 (Tabel 1) [2]. Kondisi ini disebabkan karena pendapatan non-halal tidak diakui sebagai laba operasional bank, melainkan dipisahkan dan disalurkan dalam bentuk </w:t>
      </w:r>
      <w:proofErr w:type="gramStart"/>
      <w:r>
        <w:t>dana</w:t>
      </w:r>
      <w:proofErr w:type="gramEnd"/>
      <w:r>
        <w:t xml:space="preserve"> kebajikan atau kegiatan sosial.</w:t>
      </w:r>
    </w:p>
    <w:p w:rsidR="00E6409E" w:rsidRDefault="00017D78">
      <w:pPr>
        <w:spacing w:after="120"/>
        <w:ind w:firstLine="425"/>
        <w:jc w:val="both"/>
      </w:pPr>
      <w:r>
        <w:t>Hasil pe</w:t>
      </w:r>
      <w:r>
        <w:t>nelitian ini sejalan dengan penelitian Kiki Fatmala dan Wirman (2021) yang menyatakan bahwa pendapatan non-halal tidak memberikan pengaruh langsung terhadap profitabilitas bank syariah [2]. Dalam QS. Al-Baqarah ayat 168 dijelaskan pentingnya memperoleh dan</w:t>
      </w:r>
      <w:r>
        <w:t xml:space="preserve"> menggunakan harta yang halal dan baik (</w:t>
      </w:r>
      <w:r>
        <w:rPr>
          <w:i/>
          <w:iCs/>
        </w:rPr>
        <w:t>halalan thayyiban</w:t>
      </w:r>
      <w:r>
        <w:t>). Oleh karena itu, bank syariah memisahkan pendapatan non-halal agar tetap menjaga kepatuhan terhadap prinsip syariah.</w:t>
      </w:r>
    </w:p>
    <w:p w:rsidR="00E6409E" w:rsidRDefault="00017D78">
      <w:pPr>
        <w:spacing w:before="200" w:after="120"/>
      </w:pPr>
      <w:r>
        <w:rPr>
          <w:b/>
          <w:bCs/>
          <w:i/>
          <w:iCs/>
        </w:rPr>
        <w:t>Pengaruh Simultan Intellectual Capital, Profit Sharing Ratio, Zakat Performance</w:t>
      </w:r>
      <w:r>
        <w:rPr>
          <w:b/>
          <w:bCs/>
          <w:i/>
          <w:iCs/>
        </w:rPr>
        <w:t xml:space="preserve"> Ratio, dan Islamic Income versus Non-Islamic Income terhadap Kinerja Keuangan</w:t>
      </w:r>
    </w:p>
    <w:p w:rsidR="00E6409E" w:rsidRDefault="00017D78">
      <w:pPr>
        <w:spacing w:before="80" w:after="100"/>
        <w:jc w:val="center"/>
      </w:pPr>
      <w:r>
        <w:rPr>
          <w:b/>
          <w:bCs/>
        </w:rPr>
        <w:t>Table 2. Hasil Uji F dan Koefisien Determinasi</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4000"/>
      </w:tblGrid>
      <w:tr w:rsidR="00E6409E">
        <w:tblPrEx>
          <w:tblCellMar>
            <w:top w:w="0" w:type="dxa"/>
            <w:bottom w:w="0" w:type="dxa"/>
          </w:tblCellMar>
        </w:tblPrEx>
        <w:trPr>
          <w:tblHeader/>
        </w:trPr>
        <w:tc>
          <w:tcPr>
            <w:tcW w:w="4000" w:type="dxa"/>
            <w:shd w:val="clear" w:color="auto" w:fill="D9D9D9"/>
            <w:vAlign w:val="center"/>
          </w:tcPr>
          <w:p w:rsidR="00E6409E" w:rsidRDefault="00017D78">
            <w:pPr>
              <w:jc w:val="center"/>
            </w:pPr>
            <w:r>
              <w:rPr>
                <w:b/>
                <w:bCs/>
                <w:sz w:val="18"/>
                <w:szCs w:val="18"/>
              </w:rPr>
              <w:t>Statistik</w:t>
            </w:r>
          </w:p>
        </w:tc>
        <w:tc>
          <w:tcPr>
            <w:tcW w:w="4000" w:type="dxa"/>
            <w:shd w:val="clear" w:color="auto" w:fill="D9D9D9"/>
            <w:vAlign w:val="center"/>
          </w:tcPr>
          <w:p w:rsidR="00E6409E" w:rsidRDefault="00017D78">
            <w:pPr>
              <w:jc w:val="center"/>
            </w:pPr>
            <w:r>
              <w:rPr>
                <w:b/>
                <w:bCs/>
                <w:sz w:val="18"/>
                <w:szCs w:val="18"/>
              </w:rPr>
              <w:t>Nilai</w:t>
            </w:r>
          </w:p>
        </w:tc>
      </w:tr>
      <w:tr w:rsidR="00E6409E">
        <w:tblPrEx>
          <w:tblCellMar>
            <w:top w:w="0" w:type="dxa"/>
            <w:bottom w:w="0" w:type="dxa"/>
          </w:tblCellMar>
        </w:tblPrEx>
        <w:tc>
          <w:tcPr>
            <w:tcW w:w="4000" w:type="dxa"/>
            <w:vAlign w:val="center"/>
          </w:tcPr>
          <w:p w:rsidR="00E6409E" w:rsidRDefault="00017D78">
            <w:r>
              <w:rPr>
                <w:sz w:val="18"/>
                <w:szCs w:val="18"/>
              </w:rPr>
              <w:t>R-squared</w:t>
            </w:r>
          </w:p>
        </w:tc>
        <w:tc>
          <w:tcPr>
            <w:tcW w:w="4000" w:type="dxa"/>
            <w:vAlign w:val="center"/>
          </w:tcPr>
          <w:p w:rsidR="00E6409E" w:rsidRDefault="00017D78">
            <w:pPr>
              <w:jc w:val="center"/>
            </w:pPr>
            <w:r>
              <w:rPr>
                <w:sz w:val="18"/>
                <w:szCs w:val="18"/>
              </w:rPr>
              <w:t>0.748820</w:t>
            </w:r>
          </w:p>
        </w:tc>
      </w:tr>
      <w:tr w:rsidR="00E6409E">
        <w:tblPrEx>
          <w:tblCellMar>
            <w:top w:w="0" w:type="dxa"/>
            <w:bottom w:w="0" w:type="dxa"/>
          </w:tblCellMar>
        </w:tblPrEx>
        <w:tc>
          <w:tcPr>
            <w:tcW w:w="4000" w:type="dxa"/>
            <w:vAlign w:val="center"/>
          </w:tcPr>
          <w:p w:rsidR="00E6409E" w:rsidRDefault="00017D78">
            <w:r>
              <w:rPr>
                <w:sz w:val="18"/>
                <w:szCs w:val="18"/>
              </w:rPr>
              <w:t>Adjusted R-squared</w:t>
            </w:r>
          </w:p>
        </w:tc>
        <w:tc>
          <w:tcPr>
            <w:tcW w:w="4000" w:type="dxa"/>
            <w:vAlign w:val="center"/>
          </w:tcPr>
          <w:p w:rsidR="00E6409E" w:rsidRDefault="00017D78">
            <w:pPr>
              <w:jc w:val="center"/>
            </w:pPr>
            <w:r>
              <w:rPr>
                <w:sz w:val="18"/>
                <w:szCs w:val="18"/>
              </w:rPr>
              <w:t>0.610671</w:t>
            </w:r>
          </w:p>
        </w:tc>
      </w:tr>
      <w:tr w:rsidR="00E6409E">
        <w:tblPrEx>
          <w:tblCellMar>
            <w:top w:w="0" w:type="dxa"/>
            <w:bottom w:w="0" w:type="dxa"/>
          </w:tblCellMar>
        </w:tblPrEx>
        <w:tc>
          <w:tcPr>
            <w:tcW w:w="4000" w:type="dxa"/>
            <w:vAlign w:val="center"/>
          </w:tcPr>
          <w:p w:rsidR="00E6409E" w:rsidRDefault="00017D78">
            <w:r>
              <w:rPr>
                <w:sz w:val="18"/>
                <w:szCs w:val="18"/>
              </w:rPr>
              <w:t>S.E. of regression</w:t>
            </w:r>
          </w:p>
        </w:tc>
        <w:tc>
          <w:tcPr>
            <w:tcW w:w="4000" w:type="dxa"/>
            <w:vAlign w:val="center"/>
          </w:tcPr>
          <w:p w:rsidR="00E6409E" w:rsidRDefault="00017D78">
            <w:pPr>
              <w:jc w:val="center"/>
            </w:pPr>
            <w:r>
              <w:rPr>
                <w:sz w:val="18"/>
                <w:szCs w:val="18"/>
              </w:rPr>
              <w:t>0.013036</w:t>
            </w:r>
          </w:p>
        </w:tc>
      </w:tr>
      <w:tr w:rsidR="00E6409E">
        <w:tblPrEx>
          <w:tblCellMar>
            <w:top w:w="0" w:type="dxa"/>
            <w:bottom w:w="0" w:type="dxa"/>
          </w:tblCellMar>
        </w:tblPrEx>
        <w:tc>
          <w:tcPr>
            <w:tcW w:w="4000" w:type="dxa"/>
            <w:vAlign w:val="center"/>
          </w:tcPr>
          <w:p w:rsidR="00E6409E" w:rsidRDefault="00017D78">
            <w:r>
              <w:rPr>
                <w:sz w:val="18"/>
                <w:szCs w:val="18"/>
              </w:rPr>
              <w:t>F-statistic</w:t>
            </w:r>
          </w:p>
        </w:tc>
        <w:tc>
          <w:tcPr>
            <w:tcW w:w="4000" w:type="dxa"/>
            <w:vAlign w:val="center"/>
          </w:tcPr>
          <w:p w:rsidR="00E6409E" w:rsidRDefault="00017D78">
            <w:pPr>
              <w:jc w:val="center"/>
            </w:pPr>
            <w:r>
              <w:rPr>
                <w:sz w:val="18"/>
                <w:szCs w:val="18"/>
              </w:rPr>
              <w:t>5.420387</w:t>
            </w:r>
          </w:p>
        </w:tc>
      </w:tr>
      <w:tr w:rsidR="00E6409E">
        <w:tblPrEx>
          <w:tblCellMar>
            <w:top w:w="0" w:type="dxa"/>
            <w:bottom w:w="0" w:type="dxa"/>
          </w:tblCellMar>
        </w:tblPrEx>
        <w:tc>
          <w:tcPr>
            <w:tcW w:w="4000" w:type="dxa"/>
            <w:vAlign w:val="center"/>
          </w:tcPr>
          <w:p w:rsidR="00E6409E" w:rsidRDefault="00017D78">
            <w:r>
              <w:rPr>
                <w:sz w:val="18"/>
                <w:szCs w:val="18"/>
              </w:rPr>
              <w:t>Prob (F-statistic)</w:t>
            </w:r>
          </w:p>
        </w:tc>
        <w:tc>
          <w:tcPr>
            <w:tcW w:w="4000" w:type="dxa"/>
            <w:vAlign w:val="center"/>
          </w:tcPr>
          <w:p w:rsidR="00E6409E" w:rsidRDefault="00017D78">
            <w:pPr>
              <w:jc w:val="center"/>
            </w:pPr>
            <w:r>
              <w:rPr>
                <w:sz w:val="18"/>
                <w:szCs w:val="18"/>
              </w:rPr>
              <w:t>0.000552</w:t>
            </w:r>
          </w:p>
        </w:tc>
      </w:tr>
      <w:tr w:rsidR="00E6409E">
        <w:tblPrEx>
          <w:tblCellMar>
            <w:top w:w="0" w:type="dxa"/>
            <w:bottom w:w="0" w:type="dxa"/>
          </w:tblCellMar>
        </w:tblPrEx>
        <w:tc>
          <w:tcPr>
            <w:tcW w:w="4000" w:type="dxa"/>
            <w:vAlign w:val="center"/>
          </w:tcPr>
          <w:p w:rsidR="00E6409E" w:rsidRDefault="00017D78">
            <w:r>
              <w:rPr>
                <w:sz w:val="18"/>
                <w:szCs w:val="18"/>
              </w:rPr>
              <w:t>Durbin-Watson stat</w:t>
            </w:r>
          </w:p>
        </w:tc>
        <w:tc>
          <w:tcPr>
            <w:tcW w:w="4000" w:type="dxa"/>
            <w:vAlign w:val="center"/>
          </w:tcPr>
          <w:p w:rsidR="00E6409E" w:rsidRDefault="00017D78">
            <w:pPr>
              <w:jc w:val="center"/>
            </w:pPr>
            <w:r>
              <w:rPr>
                <w:sz w:val="18"/>
                <w:szCs w:val="18"/>
              </w:rPr>
              <w:t>2.797353</w:t>
            </w:r>
          </w:p>
        </w:tc>
      </w:tr>
    </w:tbl>
    <w:p w:rsidR="00E6409E" w:rsidRDefault="00017D78">
      <w:pPr>
        <w:spacing w:before="20" w:after="160"/>
        <w:jc w:val="center"/>
      </w:pPr>
      <w:r>
        <w:rPr>
          <w:i/>
          <w:iCs/>
          <w:sz w:val="18"/>
          <w:szCs w:val="18"/>
        </w:rPr>
        <w:t>Sumber: Data diolah dengan EViews 13 (2025). Catatan: naskah asli menampilkan tabel ini dua kali (Gambar 5 dan Gambar 6) dengan angka yang identik; keduanya digabungkan menjadi satu tabel di sini.</w:t>
      </w:r>
    </w:p>
    <w:p w:rsidR="00E6409E" w:rsidRDefault="00017D78">
      <w:pPr>
        <w:spacing w:after="120"/>
        <w:ind w:firstLine="425"/>
        <w:jc w:val="both"/>
      </w:pPr>
      <w:r>
        <w:t xml:space="preserve">Berdasarkan hasil uji F pada Tabel 2, variabel </w:t>
      </w:r>
      <w:r>
        <w:rPr>
          <w:i/>
          <w:iCs/>
        </w:rPr>
        <w:t>Intellectual Capital, Profit Sharing Ratio, Zakat Performance Ratio</w:t>
      </w:r>
      <w:r>
        <w:t xml:space="preserve">, dan </w:t>
      </w:r>
      <w:r>
        <w:rPr>
          <w:i/>
          <w:iCs/>
        </w:rPr>
        <w:t>Islamic Income versus Non-Islamic Income</w:t>
      </w:r>
      <w:r>
        <w:t xml:space="preserve"> secara simultan berpengaruh signifikan terhadap kinerja keuangan Bank Umum Syariah di Indonesia</w:t>
      </w:r>
      <w:r>
        <w:t xml:space="preserve"> periode 2021-2024. Hal ini dibuktikan dengan nilai signifikansi sebesar 0,000552 &lt; 0</w:t>
      </w:r>
      <w:proofErr w:type="gramStart"/>
      <w:r>
        <w:t>,05</w:t>
      </w:r>
      <w:proofErr w:type="gramEnd"/>
      <w:r>
        <w:t xml:space="preserve"> [14].</w:t>
      </w:r>
    </w:p>
    <w:p w:rsidR="00E6409E" w:rsidRDefault="00017D78">
      <w:pPr>
        <w:spacing w:after="120"/>
        <w:ind w:firstLine="425"/>
        <w:jc w:val="both"/>
      </w:pPr>
      <w:r>
        <w:t xml:space="preserve">Selain itu, nilai </w:t>
      </w:r>
      <w:r>
        <w:rPr>
          <w:i/>
          <w:iCs/>
        </w:rPr>
        <w:t>Adjusted R-Square</w:t>
      </w:r>
      <w:r>
        <w:t xml:space="preserve"> sebesar 0,610671 menunjukkan bahwa variabel penelitian mampu menjelaskan kinerja keuangan sebesar 61%, sedangkan sisanya sebe</w:t>
      </w:r>
      <w:r>
        <w:t>sar 39% dipengaruhi oleh variabel lain di luar penelitian. Hasil ini menunjukkan bahwa pengelolaan modal intelektual dan penerapan prinsip syariah secara bersama-sama memiliki peran penting dalam meningkatkan kinerja keuangan bank syariah di Indonesia.</w:t>
      </w:r>
    </w:p>
    <w:p w:rsidR="00E6409E" w:rsidRDefault="00017D78">
      <w:pPr>
        <w:spacing w:before="240" w:after="120"/>
      </w:pPr>
      <w:r>
        <w:rPr>
          <w:b/>
          <w:bCs/>
        </w:rPr>
        <w:t xml:space="preserve">4. </w:t>
      </w:r>
      <w:r>
        <w:rPr>
          <w:b/>
          <w:bCs/>
        </w:rPr>
        <w:t>KESIMPULAN</w:t>
      </w:r>
    </w:p>
    <w:p w:rsidR="00E6409E" w:rsidRDefault="00017D78">
      <w:pPr>
        <w:spacing w:after="120"/>
        <w:ind w:firstLine="425"/>
        <w:jc w:val="both"/>
      </w:pPr>
      <w:r>
        <w:t xml:space="preserve">Berdasarkan hasil penelitian, dapat disimpulkan bahwa </w:t>
      </w:r>
      <w:r>
        <w:rPr>
          <w:i/>
          <w:iCs/>
        </w:rPr>
        <w:t>Intellectual Capital</w:t>
      </w:r>
      <w:r>
        <w:t xml:space="preserve"> memiliki peran penting dalam meningkatkan kinerja keuangan Bank Umum Syariah di Indonesia. Pengelolaan modal intelektual yang meliputi kualitas sumber daya manusia, siste</w:t>
      </w:r>
      <w:r>
        <w:t>m organisasi, dan inovasi mampu meningkatkan efektivitas operasional bank sehingga berdampak pada peningkatan profitabilitas perusahaan. Temuan ini menunjukkan bahwa aset tidak berwujud menjadi salah satu faktor utama dalam menciptakan keunggulan kompetiti</w:t>
      </w:r>
      <w:r>
        <w:t>f perbankan syariah.</w:t>
      </w:r>
    </w:p>
    <w:p w:rsidR="00E6409E" w:rsidRDefault="00017D78">
      <w:pPr>
        <w:spacing w:after="120"/>
        <w:ind w:firstLine="425"/>
        <w:jc w:val="both"/>
      </w:pPr>
      <w:r>
        <w:t xml:space="preserve">Sementara itu, </w:t>
      </w:r>
      <w:r>
        <w:rPr>
          <w:i/>
          <w:iCs/>
        </w:rPr>
        <w:t>Profit Sharing Ratio</w:t>
      </w:r>
      <w:r>
        <w:t xml:space="preserve"> belum menunjukkan kontribusi yang berarti terhadap peningkatan kinerja keuangan bank syariah. Kondisi ini menunjukkan bahwa pembiayaan berbasis bagi hasil, seperti mudharabah dan musyarakah, masih be</w:t>
      </w:r>
      <w:r>
        <w:t>lum menjadi sumber utama dalam meningkatkan profitabilitas bank selama periode penelitian.</w:t>
      </w:r>
    </w:p>
    <w:p w:rsidR="00E6409E" w:rsidRDefault="00017D78">
      <w:pPr>
        <w:spacing w:after="120"/>
        <w:ind w:firstLine="425"/>
        <w:jc w:val="both"/>
      </w:pPr>
      <w:r>
        <w:t xml:space="preserve">Penelitian ini juga menunjukkan bahwa </w:t>
      </w:r>
      <w:r>
        <w:rPr>
          <w:i/>
          <w:iCs/>
        </w:rPr>
        <w:t>Zakat Performance Ratio</w:t>
      </w:r>
      <w:r>
        <w:t xml:space="preserve"> belum memberikan pengaruh langsung terhadap kinerja keuangan bank syariah. Hal tersebut mengindikasikan</w:t>
      </w:r>
      <w:r>
        <w:t xml:space="preserve"> bahwa zakat lebih mencerminkan bentuk tanggung jawab sosial dan kepatuhan terhadap prinsip syariah dibandingkan sebagai faktor utama dalam meningkatkan laba perusahaan.</w:t>
      </w:r>
    </w:p>
    <w:p w:rsidR="00E6409E" w:rsidRDefault="00017D78">
      <w:pPr>
        <w:spacing w:after="120"/>
        <w:ind w:firstLine="425"/>
        <w:jc w:val="both"/>
      </w:pPr>
      <w:r>
        <w:lastRenderedPageBreak/>
        <w:t xml:space="preserve">Selain itu, komposisi </w:t>
      </w:r>
      <w:r>
        <w:rPr>
          <w:i/>
          <w:iCs/>
        </w:rPr>
        <w:t>Islamic Income versus Non-Islamic Income</w:t>
      </w:r>
      <w:r>
        <w:t xml:space="preserve"> juga belum memberikan k</w:t>
      </w:r>
      <w:r>
        <w:t xml:space="preserve">ontribusi nyata terhadap profitabilitas bank syariah. Pendapatan non-halal yang diperoleh bank syariah umumnya dipisahkan dan disalurkan untuk kegiatan sosial atau </w:t>
      </w:r>
      <w:proofErr w:type="gramStart"/>
      <w:r>
        <w:t>dana</w:t>
      </w:r>
      <w:proofErr w:type="gramEnd"/>
      <w:r>
        <w:t xml:space="preserve"> kebajikan sehingga tidak memengaruhi peningkatan laba perusahaan.</w:t>
      </w:r>
    </w:p>
    <w:p w:rsidR="00E6409E" w:rsidRDefault="00017D78">
      <w:pPr>
        <w:spacing w:after="120"/>
        <w:ind w:firstLine="425"/>
        <w:jc w:val="both"/>
      </w:pPr>
      <w:r>
        <w:t>Secara keseluruhan, p</w:t>
      </w:r>
      <w:r>
        <w:t>enelitian ini menunjukkan bahwa kinerja keuangan bank syariah tidak hanya dipengaruhi oleh faktor finansial, tetapi juga dipengaruhi oleh pengelolaan modal intelektual dan penerapan prinsip-prinsip syariah dalam operasional perusahaan. Oleh karena itu, pen</w:t>
      </w:r>
      <w:r>
        <w:t>ingkatan kualitas sumber daya, inovasi, dan kepatuhan syariah menjadi faktor penting dalam mendukung pertumbuhan dan keberlanjutan perbankan syariah di Indonesia.</w:t>
      </w:r>
    </w:p>
    <w:p w:rsidR="00E6409E" w:rsidRDefault="00017D78">
      <w:pPr>
        <w:spacing w:before="240" w:after="120"/>
      </w:pPr>
      <w:bookmarkStart w:id="0" w:name="_GoBack"/>
      <w:bookmarkEnd w:id="0"/>
      <w:r>
        <w:rPr>
          <w:b/>
          <w:bCs/>
        </w:rPr>
        <w:t>REFERENSI</w:t>
      </w:r>
    </w:p>
    <w:p w:rsidR="00E6409E" w:rsidRDefault="00017D78">
      <w:pPr>
        <w:spacing w:after="80"/>
        <w:ind w:left="340" w:hanging="340"/>
        <w:jc w:val="both"/>
      </w:pPr>
      <w:r>
        <w:rPr>
          <w:sz w:val="16"/>
          <w:szCs w:val="16"/>
        </w:rPr>
        <w:t>[1] S. Nasution, M. Yafiz, and T. Anggraini, "Financial Performance Analysis of PT. Bank Syariah Indonesia (BSI) for the 2021-2022 P</w:t>
      </w:r>
      <w:r>
        <w:rPr>
          <w:sz w:val="16"/>
          <w:szCs w:val="16"/>
        </w:rPr>
        <w:t>eriod Using the Camel Method," Indonesian Interdisciplinary Journal of Sharia Economics (IIJSE), vol. 6, no. 3, pp. 1654-65, 2023.</w:t>
      </w:r>
    </w:p>
    <w:p w:rsidR="00E6409E" w:rsidRDefault="00017D78">
      <w:pPr>
        <w:spacing w:after="80"/>
        <w:ind w:left="340" w:hanging="340"/>
        <w:jc w:val="both"/>
      </w:pPr>
      <w:r>
        <w:rPr>
          <w:sz w:val="16"/>
          <w:szCs w:val="16"/>
        </w:rPr>
        <w:t>[2] K. Fatmala and W. Wirman, "Pengaruh Islamicity Performance Index dan Islamic Social Reporting terhadap Kinerja Keuangan P</w:t>
      </w:r>
      <w:r>
        <w:rPr>
          <w:sz w:val="16"/>
          <w:szCs w:val="16"/>
        </w:rPr>
        <w:t>erbankan Syariah di Indonesia," Invoice, vol. 3, no. 1, pp. 30-43, 2021.</w:t>
      </w:r>
    </w:p>
    <w:p w:rsidR="00E6409E" w:rsidRDefault="00017D78">
      <w:pPr>
        <w:spacing w:after="80"/>
        <w:ind w:left="340" w:hanging="340"/>
        <w:jc w:val="both"/>
      </w:pPr>
      <w:r>
        <w:rPr>
          <w:sz w:val="16"/>
          <w:szCs w:val="16"/>
        </w:rPr>
        <w:t xml:space="preserve">[3] A. N. Hasibuan and W. Windari, "Peran Strategis Intellectual Capital dalam Mendorong Kinerja Keuangan Institusi Keuangan Syariah," Mandiri: Jurnal Akuntansi dan Keuangan, vol. 3, </w:t>
      </w:r>
      <w:r>
        <w:rPr>
          <w:sz w:val="16"/>
          <w:szCs w:val="16"/>
        </w:rPr>
        <w:t>no. 3, pp. 140-49, 2024.</w:t>
      </w:r>
    </w:p>
    <w:p w:rsidR="00E6409E" w:rsidRDefault="00017D78">
      <w:pPr>
        <w:spacing w:after="80"/>
        <w:ind w:left="340" w:hanging="340"/>
        <w:jc w:val="both"/>
      </w:pPr>
      <w:r>
        <w:rPr>
          <w:sz w:val="16"/>
          <w:szCs w:val="16"/>
        </w:rPr>
        <w:t xml:space="preserve">[4] E. Pratiwi and R. Kadry, "Islamic Banking-Value Added Intellectual Coefficient (IB-VAIC) as an Intellectual Capital Proxy Indonesian Islamic Banking," Global Review of Islamic Economics and Business, vol. 2, no. 2, pp. 127-35, </w:t>
      </w:r>
      <w:r>
        <w:rPr>
          <w:sz w:val="16"/>
          <w:szCs w:val="16"/>
        </w:rPr>
        <w:t>2014.</w:t>
      </w:r>
    </w:p>
    <w:p w:rsidR="00E6409E" w:rsidRDefault="00017D78">
      <w:pPr>
        <w:spacing w:after="80"/>
        <w:ind w:left="340" w:hanging="340"/>
        <w:jc w:val="both"/>
      </w:pPr>
      <w:r>
        <w:rPr>
          <w:sz w:val="16"/>
          <w:szCs w:val="16"/>
        </w:rPr>
        <w:t>[5] A. F. Alamah, Y. Nadhirah, and P. Putra, "The Impact of Islamicity Performance Index on the Profitability of Sharia Banks in Indonesia," Research of Islamic Economics, vol. 2, no. 2, pp. 93-104, 2025.</w:t>
      </w:r>
    </w:p>
    <w:p w:rsidR="00E6409E" w:rsidRDefault="00017D78">
      <w:pPr>
        <w:spacing w:after="80"/>
        <w:ind w:left="340" w:hanging="340"/>
        <w:jc w:val="both"/>
      </w:pPr>
      <w:r>
        <w:rPr>
          <w:sz w:val="16"/>
          <w:szCs w:val="16"/>
        </w:rPr>
        <w:t>[6] R. Guntoro and M. F. Arrozi, "Pengaruh In</w:t>
      </w:r>
      <w:r>
        <w:rPr>
          <w:sz w:val="16"/>
          <w:szCs w:val="16"/>
        </w:rPr>
        <w:t>tellectual Capital dan Earning Per Share terhadap Harga Saham," JCA of Economics and Business, vol. 1, no. 1, 2020.</w:t>
      </w:r>
    </w:p>
    <w:p w:rsidR="00E6409E" w:rsidRDefault="00017D78">
      <w:pPr>
        <w:spacing w:after="80"/>
        <w:ind w:left="340" w:hanging="340"/>
        <w:jc w:val="both"/>
      </w:pPr>
      <w:r>
        <w:rPr>
          <w:sz w:val="16"/>
          <w:szCs w:val="16"/>
        </w:rPr>
        <w:t>[7] F. S. F. Meri, "Pengaruh Profit Sharing Ratio, Zakat Performance Ratio, Equitable Distribution Ratio dan Islamic Income versus Non Islam</w:t>
      </w:r>
      <w:r>
        <w:rPr>
          <w:sz w:val="16"/>
          <w:szCs w:val="16"/>
        </w:rPr>
        <w:t>ic Income terhadap Kinerja Keuangan Bank Syariah (Studi pada PT. Bank Muamalat Indonesia Periode 2015-2024)," Undergraduate thesis, UIN Raden Intan Lampung, 2026.</w:t>
      </w:r>
    </w:p>
    <w:p w:rsidR="00E6409E" w:rsidRDefault="00017D78">
      <w:pPr>
        <w:spacing w:after="80"/>
        <w:ind w:left="340" w:hanging="340"/>
        <w:jc w:val="both"/>
      </w:pPr>
      <w:r>
        <w:rPr>
          <w:sz w:val="16"/>
          <w:szCs w:val="16"/>
        </w:rPr>
        <w:t>[8] N. Alia, "Pengaruh Intellectual Capital terhadap Kinerja Keuangan Bank Umum Syariah," Jou</w:t>
      </w:r>
      <w:r>
        <w:rPr>
          <w:sz w:val="16"/>
          <w:szCs w:val="16"/>
        </w:rPr>
        <w:t>rnal of Applied Islamic Economics and Finance, 2014.</w:t>
      </w:r>
    </w:p>
    <w:p w:rsidR="00E6409E" w:rsidRDefault="00017D78">
      <w:pPr>
        <w:spacing w:after="80"/>
        <w:ind w:left="340" w:hanging="340"/>
        <w:jc w:val="both"/>
      </w:pPr>
      <w:r>
        <w:rPr>
          <w:sz w:val="16"/>
          <w:szCs w:val="16"/>
        </w:rPr>
        <w:t>[9] D. A. Rufaedah, M. Yazid, and N. Febriyanti, "Analisis Kinerja Keuangan Bank Syariah di Indonesia Berdasarkan Islamic Performance Index," Jurnal Akuntansi dan Keuangan Islam, vol. 12, no. 1, pp. 85-1</w:t>
      </w:r>
      <w:r>
        <w:rPr>
          <w:sz w:val="16"/>
          <w:szCs w:val="16"/>
        </w:rPr>
        <w:t>02, 2024.</w:t>
      </w:r>
    </w:p>
    <w:p w:rsidR="00E6409E" w:rsidRDefault="00017D78">
      <w:pPr>
        <w:spacing w:after="80"/>
        <w:ind w:left="340" w:hanging="340"/>
        <w:jc w:val="both"/>
      </w:pPr>
      <w:r>
        <w:rPr>
          <w:sz w:val="16"/>
          <w:szCs w:val="16"/>
        </w:rPr>
        <w:t>[10] S. Siyoto and M. A. Sodik, Dasar Metodologi Penelitian. Literasi Media Publishing, 2015.</w:t>
      </w:r>
    </w:p>
    <w:p w:rsidR="00E6409E" w:rsidRDefault="00017D78">
      <w:pPr>
        <w:spacing w:after="80"/>
        <w:ind w:left="340" w:hanging="340"/>
        <w:jc w:val="both"/>
      </w:pPr>
      <w:r>
        <w:rPr>
          <w:sz w:val="16"/>
          <w:szCs w:val="16"/>
        </w:rPr>
        <w:t>[11] I. M. L. M. Jaya, Metode Penelitian Kuantitatif dan Kualitatif: Teori, Penerapan, dan Riset Nyata. Anak Hebat Indonesia, 2020.</w:t>
      </w:r>
    </w:p>
    <w:p w:rsidR="00E6409E" w:rsidRDefault="00017D78">
      <w:pPr>
        <w:spacing w:after="80"/>
        <w:ind w:left="340" w:hanging="340"/>
        <w:jc w:val="both"/>
      </w:pPr>
      <w:r>
        <w:rPr>
          <w:sz w:val="16"/>
          <w:szCs w:val="16"/>
        </w:rPr>
        <w:t xml:space="preserve">[12] W. W. Winarno, </w:t>
      </w:r>
      <w:r>
        <w:rPr>
          <w:sz w:val="16"/>
          <w:szCs w:val="16"/>
        </w:rPr>
        <w:t>Analisis Ekonometrika dan Statistika dengan Eviews. UPP STIM YKPN, 2017.</w:t>
      </w:r>
    </w:p>
    <w:p w:rsidR="00E6409E" w:rsidRDefault="00017D78">
      <w:pPr>
        <w:spacing w:after="80"/>
        <w:ind w:left="340" w:hanging="340"/>
        <w:jc w:val="both"/>
      </w:pPr>
      <w:r>
        <w:rPr>
          <w:sz w:val="16"/>
          <w:szCs w:val="16"/>
        </w:rPr>
        <w:t>[13] M. Fajar, Y. Ulfah, and I. A. Lahaya, "Pengaruh Islamicity Performance Index terhadap Kinerja Keuangan Perbankan Syariah di Indonesia Periode 2015-2019," Jurnal Ilmu Akuntansi Mu</w:t>
      </w:r>
      <w:r>
        <w:rPr>
          <w:sz w:val="16"/>
          <w:szCs w:val="16"/>
        </w:rPr>
        <w:t>lawarman (JIAM), vol. 7, no. 3, pp. 1-1, 2022.</w:t>
      </w:r>
    </w:p>
    <w:p w:rsidR="00E6409E" w:rsidRDefault="00017D78">
      <w:pPr>
        <w:spacing w:after="80"/>
        <w:ind w:left="340" w:hanging="340"/>
        <w:jc w:val="both"/>
      </w:pPr>
      <w:r>
        <w:rPr>
          <w:sz w:val="16"/>
          <w:szCs w:val="16"/>
        </w:rPr>
        <w:t>[14] I. Ghozali, Aplikasi Analisis Multivariate dengan Program IBM SPSS 23, 2018.</w:t>
      </w:r>
    </w:p>
    <w:sectPr w:rsidR="00E6409E">
      <w:headerReference w:type="default" r:id="rId8"/>
      <w:footerReference w:type="default" r:id="rId9"/>
      <w:pgSz w:w="11906" w:h="16838"/>
      <w:pgMar w:top="1418" w:right="1134"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D78" w:rsidRDefault="00017D78">
      <w:r>
        <w:separator/>
      </w:r>
    </w:p>
  </w:endnote>
  <w:endnote w:type="continuationSeparator" w:id="0">
    <w:p w:rsidR="00017D78" w:rsidRDefault="0001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09E" w:rsidRDefault="00017D78" w:rsidP="00723D62">
    <w:pPr>
      <w:pBdr>
        <w:top w:val="single" w:sz="6" w:space="4" w:color="auto"/>
      </w:pBdr>
    </w:pPr>
    <w:r>
      <w:rPr>
        <w:i/>
        <w:iCs/>
        <w:sz w:val="16"/>
        <w:szCs w:val="16"/>
      </w:rPr>
      <w:t>TANJAK:</w:t>
    </w:r>
    <w:r w:rsidR="00723D62">
      <w:rPr>
        <w:i/>
        <w:iCs/>
        <w:sz w:val="16"/>
        <w:szCs w:val="16"/>
      </w:rPr>
      <w:t xml:space="preserve"> Jurnal Tinjauan Akuntansi, Vol. 1</w:t>
    </w:r>
    <w:r>
      <w:rPr>
        <w:i/>
        <w:iCs/>
        <w:sz w:val="16"/>
        <w:szCs w:val="16"/>
      </w:rPr>
      <w:t>, No.</w:t>
    </w:r>
    <w:r w:rsidR="00723D62">
      <w:rPr>
        <w:i/>
        <w:iCs/>
        <w:sz w:val="16"/>
        <w:szCs w:val="16"/>
      </w:rPr>
      <w:t>2</w:t>
    </w:r>
    <w:r>
      <w:rPr>
        <w:i/>
        <w:iCs/>
        <w:sz w:val="16"/>
        <w:szCs w:val="16"/>
      </w:rPr>
      <w:t xml:space="preserve">, </w:t>
    </w:r>
    <w:r w:rsidR="00723D62">
      <w:rPr>
        <w:i/>
        <w:iCs/>
        <w:sz w:val="16"/>
        <w:szCs w:val="16"/>
      </w:rPr>
      <w:t>Juni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D78" w:rsidRDefault="00017D78">
      <w:r>
        <w:separator/>
      </w:r>
    </w:p>
  </w:footnote>
  <w:footnote w:type="continuationSeparator" w:id="0">
    <w:p w:rsidR="00017D78" w:rsidRDefault="00017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09E" w:rsidRDefault="00017D78">
    <w:r>
      <w:rPr>
        <w:b/>
        <w:bCs/>
        <w:sz w:val="18"/>
        <w:szCs w:val="18"/>
      </w:rPr>
      <w:t>TANJAK; Jurnal Tinjauan Syariah</w:t>
    </w:r>
  </w:p>
  <w:p w:rsidR="00E6409E" w:rsidRDefault="00017D78" w:rsidP="0088585D">
    <w:r>
      <w:rPr>
        <w:sz w:val="16"/>
        <w:szCs w:val="16"/>
      </w:rPr>
      <w:t xml:space="preserve">Vol. </w:t>
    </w:r>
    <w:r w:rsidR="0088585D">
      <w:rPr>
        <w:sz w:val="16"/>
        <w:szCs w:val="16"/>
      </w:rPr>
      <w:t>1, No. 2</w:t>
    </w:r>
    <w:r>
      <w:rPr>
        <w:sz w:val="16"/>
        <w:szCs w:val="16"/>
      </w:rPr>
      <w:t xml:space="preserve">, </w:t>
    </w:r>
    <w:r w:rsidR="0088585D">
      <w:rPr>
        <w:sz w:val="16"/>
        <w:szCs w:val="16"/>
      </w:rPr>
      <w:t>Juni 2025</w:t>
    </w:r>
  </w:p>
  <w:p w:rsidR="00E6409E" w:rsidRDefault="00017D78">
    <w:pPr>
      <w:pBdr>
        <w:bottom w:val="single" w:sz="6" w:space="4" w:color="auto"/>
      </w:pBdr>
      <w:tabs>
        <w:tab w:val="right" w:pos="9026"/>
      </w:tabs>
    </w:pPr>
    <w:r>
      <w:rPr>
        <w:sz w:val="16"/>
        <w:szCs w:val="16"/>
      </w:rPr>
      <w:t>ISSN: xxxx-xxxx, DOI: xx.xxxxx/tanjak.vxix.paperID</w:t>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B5CCE"/>
    <w:multiLevelType w:val="hybridMultilevel"/>
    <w:tmpl w:val="268640C0"/>
    <w:lvl w:ilvl="0" w:tplc="6FCC41BE">
      <w:start w:val="1"/>
      <w:numFmt w:val="bullet"/>
      <w:lvlText w:val="●"/>
      <w:lvlJc w:val="left"/>
      <w:pPr>
        <w:ind w:left="720" w:hanging="360"/>
      </w:pPr>
    </w:lvl>
    <w:lvl w:ilvl="1" w:tplc="70CE1F5E">
      <w:start w:val="1"/>
      <w:numFmt w:val="bullet"/>
      <w:lvlText w:val="○"/>
      <w:lvlJc w:val="left"/>
      <w:pPr>
        <w:ind w:left="1440" w:hanging="360"/>
      </w:pPr>
    </w:lvl>
    <w:lvl w:ilvl="2" w:tplc="C18A415A">
      <w:start w:val="1"/>
      <w:numFmt w:val="bullet"/>
      <w:lvlText w:val="■"/>
      <w:lvlJc w:val="left"/>
      <w:pPr>
        <w:ind w:left="2160" w:hanging="360"/>
      </w:pPr>
    </w:lvl>
    <w:lvl w:ilvl="3" w:tplc="67DAB22E">
      <w:start w:val="1"/>
      <w:numFmt w:val="bullet"/>
      <w:lvlText w:val="●"/>
      <w:lvlJc w:val="left"/>
      <w:pPr>
        <w:ind w:left="2880" w:hanging="360"/>
      </w:pPr>
    </w:lvl>
    <w:lvl w:ilvl="4" w:tplc="19B0BE1C">
      <w:start w:val="1"/>
      <w:numFmt w:val="bullet"/>
      <w:lvlText w:val="○"/>
      <w:lvlJc w:val="left"/>
      <w:pPr>
        <w:ind w:left="3600" w:hanging="360"/>
      </w:pPr>
    </w:lvl>
    <w:lvl w:ilvl="5" w:tplc="AF26C788">
      <w:start w:val="1"/>
      <w:numFmt w:val="bullet"/>
      <w:lvlText w:val="■"/>
      <w:lvlJc w:val="left"/>
      <w:pPr>
        <w:ind w:left="4320" w:hanging="360"/>
      </w:pPr>
    </w:lvl>
    <w:lvl w:ilvl="6" w:tplc="23A49A6C">
      <w:start w:val="1"/>
      <w:numFmt w:val="bullet"/>
      <w:lvlText w:val="●"/>
      <w:lvlJc w:val="left"/>
      <w:pPr>
        <w:ind w:left="5040" w:hanging="360"/>
      </w:pPr>
    </w:lvl>
    <w:lvl w:ilvl="7" w:tplc="939E78B2">
      <w:start w:val="1"/>
      <w:numFmt w:val="bullet"/>
      <w:lvlText w:val="●"/>
      <w:lvlJc w:val="left"/>
      <w:pPr>
        <w:ind w:left="5760" w:hanging="360"/>
      </w:pPr>
    </w:lvl>
    <w:lvl w:ilvl="8" w:tplc="C13E0E2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09E"/>
    <w:rsid w:val="00017D78"/>
    <w:rsid w:val="004B09B3"/>
    <w:rsid w:val="00723D62"/>
    <w:rsid w:val="0088585D"/>
    <w:rsid w:val="00E64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A460E-687D-483E-AF1B-5CA939BC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8585D"/>
    <w:pPr>
      <w:tabs>
        <w:tab w:val="center" w:pos="4680"/>
        <w:tab w:val="right" w:pos="9360"/>
      </w:tabs>
    </w:pPr>
  </w:style>
  <w:style w:type="character" w:customStyle="1" w:styleId="HeaderChar">
    <w:name w:val="Header Char"/>
    <w:basedOn w:val="DefaultParagraphFont"/>
    <w:link w:val="Header"/>
    <w:uiPriority w:val="99"/>
    <w:rsid w:val="0088585D"/>
  </w:style>
  <w:style w:type="paragraph" w:styleId="Footer">
    <w:name w:val="footer"/>
    <w:basedOn w:val="Normal"/>
    <w:link w:val="FooterChar"/>
    <w:uiPriority w:val="99"/>
    <w:unhideWhenUsed/>
    <w:rsid w:val="0088585D"/>
    <w:pPr>
      <w:tabs>
        <w:tab w:val="center" w:pos="4680"/>
        <w:tab w:val="right" w:pos="9360"/>
      </w:tabs>
    </w:pPr>
  </w:style>
  <w:style w:type="character" w:customStyle="1" w:styleId="FooterChar">
    <w:name w:val="Footer Char"/>
    <w:basedOn w:val="DefaultParagraphFont"/>
    <w:link w:val="Footer"/>
    <w:uiPriority w:val="99"/>
    <w:rsid w:val="00885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rsahp10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3362</Words>
  <Characters>19166</Characters>
  <Application>Microsoft Office Word</Application>
  <DocSecurity>0</DocSecurity>
  <Lines>159</Lines>
  <Paragraphs>44</Paragraphs>
  <ScaleCrop>false</ScaleCrop>
  <Company/>
  <LinksUpToDate>false</LinksUpToDate>
  <CharactersWithSpaces>22484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4</cp:revision>
  <dcterms:created xsi:type="dcterms:W3CDTF">2026-08-27T04:54:00Z</dcterms:created>
  <dcterms:modified xsi:type="dcterms:W3CDTF">2026-08-27T04:58:00Z</dcterms:modified>
</cp:coreProperties>
</file>