
<file path=[Content_Types].xml><?xml version="1.0" encoding="utf-8"?>
<Types xmlns="http://schemas.openxmlformats.org/package/2006/content-types">
  <Default Extension="rels" ContentType="application/vnd.openxmlformats-package.relationships+xml"/>
  <Default Extension="xml" ContentType="application/xml"/>
  <Default Extension="undefined" ContentType="application/octet-stream"/>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078" w:rsidRDefault="005F255C">
      <w:pPr>
        <w:spacing w:after="200"/>
        <w:jc w:val="center"/>
      </w:pPr>
      <w:r>
        <w:rPr>
          <w:b/>
          <w:bCs/>
          <w:sz w:val="32"/>
          <w:szCs w:val="32"/>
        </w:rPr>
        <w:t>Pengaruh Struktur Modal, Profitabilitas, dan Likuiditas terhadap Nilai Perusahaan pada Perusahaan Manufaktur Sektor Industri Barang Konsumsi Ditinjau dari Perspektif Syariah</w:t>
      </w:r>
    </w:p>
    <w:p w:rsidR="00C43078" w:rsidRDefault="005F255C">
      <w:pPr>
        <w:spacing w:after="40"/>
        <w:jc w:val="center"/>
      </w:pPr>
      <w:r>
        <w:rPr>
          <w:b/>
          <w:bCs/>
        </w:rPr>
        <w:t>Suratin</w:t>
      </w:r>
      <w:r>
        <w:rPr>
          <w:b/>
          <w:bCs/>
          <w:vertAlign w:val="superscript"/>
        </w:rPr>
        <w:t>1</w:t>
      </w:r>
      <w:r>
        <w:rPr>
          <w:b/>
          <w:bCs/>
        </w:rPr>
        <w:t>, Bambang Irawan</w:t>
      </w:r>
      <w:r>
        <w:rPr>
          <w:b/>
          <w:bCs/>
          <w:vertAlign w:val="superscript"/>
        </w:rPr>
        <w:t>2</w:t>
      </w:r>
    </w:p>
    <w:p w:rsidR="00C43078" w:rsidRDefault="005F255C">
      <w:pPr>
        <w:spacing w:after="40"/>
        <w:jc w:val="center"/>
      </w:pPr>
      <w:r>
        <w:rPr>
          <w:sz w:val="16"/>
          <w:szCs w:val="16"/>
          <w:vertAlign w:val="superscript"/>
        </w:rPr>
        <w:t>1</w:t>
      </w:r>
      <w:r>
        <w:rPr>
          <w:i/>
          <w:iCs/>
          <w:sz w:val="16"/>
          <w:szCs w:val="16"/>
        </w:rPr>
        <w:t>Program Studi Akuntansi, Fakultas Syariah dan Ekonomi Islam, IAIN Datuk Laksamana Bengkalis, Indonesia</w:t>
      </w:r>
    </w:p>
    <w:p w:rsidR="00C43078" w:rsidRDefault="005F255C">
      <w:pPr>
        <w:spacing w:after="240"/>
        <w:jc w:val="center"/>
      </w:pPr>
      <w:r>
        <w:rPr>
          <w:sz w:val="16"/>
          <w:szCs w:val="16"/>
          <w:vertAlign w:val="superscript"/>
        </w:rPr>
        <w:t>2</w:t>
      </w:r>
      <w:r>
        <w:rPr>
          <w:i/>
          <w:iCs/>
          <w:sz w:val="16"/>
          <w:szCs w:val="16"/>
        </w:rPr>
        <w:t>Fakultas Syariah dan Ekonomi Islam, IAIN Datuk Laksamana Bengkalis, Indonesia</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56"/>
        <w:gridCol w:w="5932"/>
      </w:tblGrid>
      <w:tr w:rsidR="00C43078">
        <w:tc>
          <w:tcPr>
            <w:tcW w:w="3200" w:type="dxa"/>
            <w:tcBorders>
              <w:top w:val="single" w:sz="4" w:space="0" w:color="000000"/>
              <w:left w:val="none" w:sz="0" w:space="0" w:color="FFFFFF"/>
              <w:bottom w:val="none" w:sz="0" w:space="0" w:color="FFFFFF"/>
              <w:right w:val="none" w:sz="0" w:space="0" w:color="FFFFFF"/>
            </w:tcBorders>
          </w:tcPr>
          <w:p w:rsidR="00C43078" w:rsidRDefault="005F255C">
            <w:pPr>
              <w:jc w:val="both"/>
            </w:pPr>
            <w:r>
              <w:rPr>
                <w:b/>
                <w:bCs/>
              </w:rPr>
              <w:t>Article Info</w:t>
            </w:r>
          </w:p>
        </w:tc>
        <w:tc>
          <w:tcPr>
            <w:tcW w:w="6700" w:type="dxa"/>
            <w:tcBorders>
              <w:top w:val="single" w:sz="4" w:space="0" w:color="000000"/>
              <w:left w:val="none" w:sz="0" w:space="0" w:color="FFFFFF"/>
              <w:bottom w:val="none" w:sz="0" w:space="0" w:color="FFFFFF"/>
              <w:right w:val="none" w:sz="0" w:space="0" w:color="FFFFFF"/>
            </w:tcBorders>
          </w:tcPr>
          <w:p w:rsidR="00C43078" w:rsidRDefault="005F255C">
            <w:pPr>
              <w:jc w:val="both"/>
            </w:pPr>
            <w:r>
              <w:rPr>
                <w:b/>
                <w:bCs/>
                <w:sz w:val="18"/>
                <w:szCs w:val="18"/>
              </w:rPr>
              <w:t>ABSTRAK</w:t>
            </w:r>
          </w:p>
        </w:tc>
      </w:tr>
      <w:tr w:rsidR="00C43078">
        <w:tc>
          <w:tcPr>
            <w:tcW w:w="3200" w:type="dxa"/>
            <w:tcBorders>
              <w:top w:val="none" w:sz="0" w:space="0" w:color="FFFFFF"/>
              <w:left w:val="none" w:sz="0" w:space="0" w:color="FFFFFF"/>
              <w:bottom w:val="none" w:sz="0" w:space="0" w:color="FFFFFF"/>
              <w:right w:val="none" w:sz="0" w:space="0" w:color="FFFFFF"/>
            </w:tcBorders>
          </w:tcPr>
          <w:p w:rsidR="00C43078" w:rsidRDefault="005F255C">
            <w:pPr>
              <w:spacing w:after="60"/>
              <w:jc w:val="both"/>
            </w:pPr>
            <w:r>
              <w:rPr>
                <w:b/>
                <w:bCs/>
                <w:i/>
                <w:iCs/>
                <w:sz w:val="18"/>
                <w:szCs w:val="18"/>
              </w:rPr>
              <w:t>Article history:</w:t>
            </w:r>
          </w:p>
          <w:p w:rsidR="00F8657B" w:rsidRDefault="00F8657B">
            <w:pPr>
              <w:spacing w:after="60"/>
              <w:jc w:val="both"/>
              <w:rPr>
                <w:sz w:val="18"/>
                <w:szCs w:val="18"/>
              </w:rPr>
            </w:pPr>
          </w:p>
          <w:p w:rsidR="00F8657B" w:rsidRDefault="00F8657B">
            <w:pPr>
              <w:spacing w:after="60"/>
              <w:jc w:val="both"/>
              <w:rPr>
                <w:sz w:val="18"/>
                <w:szCs w:val="18"/>
              </w:rPr>
            </w:pPr>
          </w:p>
          <w:p w:rsidR="00F8657B" w:rsidRDefault="00F8657B">
            <w:pPr>
              <w:spacing w:after="60"/>
              <w:jc w:val="both"/>
              <w:rPr>
                <w:sz w:val="18"/>
                <w:szCs w:val="18"/>
              </w:rPr>
            </w:pPr>
          </w:p>
          <w:p w:rsidR="00C43078" w:rsidRDefault="005F255C">
            <w:pPr>
              <w:spacing w:after="60"/>
              <w:jc w:val="both"/>
            </w:pPr>
            <w:r>
              <w:rPr>
                <w:b/>
                <w:bCs/>
                <w:i/>
                <w:iCs/>
                <w:sz w:val="18"/>
                <w:szCs w:val="18"/>
              </w:rPr>
              <w:t>Kata Kunci:</w:t>
            </w:r>
          </w:p>
          <w:p w:rsidR="00C43078" w:rsidRDefault="005F255C">
            <w:pPr>
              <w:jc w:val="both"/>
            </w:pPr>
            <w:r>
              <w:rPr>
                <w:sz w:val="18"/>
                <w:szCs w:val="18"/>
              </w:rPr>
              <w:t>Nilai Perusahaan</w:t>
            </w:r>
          </w:p>
          <w:p w:rsidR="00C43078" w:rsidRDefault="005F255C">
            <w:pPr>
              <w:jc w:val="both"/>
            </w:pPr>
            <w:r>
              <w:rPr>
                <w:sz w:val="18"/>
                <w:szCs w:val="18"/>
              </w:rPr>
              <w:t>Struktur Modal</w:t>
            </w:r>
          </w:p>
          <w:p w:rsidR="00C43078" w:rsidRDefault="005F255C">
            <w:pPr>
              <w:jc w:val="both"/>
            </w:pPr>
            <w:r>
              <w:rPr>
                <w:sz w:val="18"/>
                <w:szCs w:val="18"/>
              </w:rPr>
              <w:t>Profitabilitas</w:t>
            </w:r>
          </w:p>
          <w:p w:rsidR="00C43078" w:rsidRDefault="005F255C">
            <w:pPr>
              <w:jc w:val="both"/>
            </w:pPr>
            <w:r>
              <w:rPr>
                <w:sz w:val="18"/>
                <w:szCs w:val="18"/>
              </w:rPr>
              <w:t>Likuiditas</w:t>
            </w:r>
          </w:p>
        </w:tc>
        <w:tc>
          <w:tcPr>
            <w:tcW w:w="6700" w:type="dxa"/>
            <w:tcBorders>
              <w:top w:val="none" w:sz="0" w:space="0" w:color="FFFFFF"/>
              <w:left w:val="none" w:sz="0" w:space="0" w:color="FFFFFF"/>
              <w:bottom w:val="none" w:sz="0" w:space="0" w:color="FFFFFF"/>
              <w:right w:val="none" w:sz="0" w:space="0" w:color="FFFFFF"/>
            </w:tcBorders>
          </w:tcPr>
          <w:p w:rsidR="00C43078" w:rsidRDefault="005F255C">
            <w:pPr>
              <w:spacing w:after="120"/>
              <w:jc w:val="both"/>
            </w:pPr>
            <w:r>
              <w:rPr>
                <w:sz w:val="18"/>
                <w:szCs w:val="18"/>
              </w:rPr>
              <w:t>Permasalahan dalam penelitian ini adalah fluktuasi nilai perusahaan manufaktur sektor industri barang konsumsi selama periode 2020–2023 yang mencerminkan perubahan kinerja, struktur keuangan, serta prospek pertumbuhan perusahaan, yang pada akhirnya memengaruhi keputusan dan minat investor dalam berinvestasi. Penelitian ini bertujuan untuk mengetahui seberapa besar pengaruh struktur modal, profitabilitas, dan likuiditas terhadap nilai perusahaan pada perusahaan manufaktur sektor industri barang konsumsi yang terdaftar di Bursa Efek Indonesia. Penelitian ini menggunakan pendekatan kuantitatif dengan data sekunder. Populasi penelitian ini adalah 39 perusahaan manufaktur sektor industri barang konsumsi yang terdaftar di BEI, dengan sampel sebanyak 14 perusahaan yang dipilih melalui purposive sampling. Teknik analisis data menggunakan regresi data panel dengan bantuan Eviews 13. Nilai perusahaan digunakan sebagai variabel dependen (Y), sedangkan struktur modal, profitabilitas, dan likuiditas sebagai variabel independen (X). Hasil penelitian menunjukkan bahwa struktur modal (DER) tidak berpengaruh positif dan tidak signifikan terhadap nilai perusahaan, profitabilitas (ROA) tidak berpengaruh positif dan tidak signifikan terhadap nilai perusahaan, sedangkan likuiditas (CR) berpengaruh positif dan signifikan terhadap nilai perusahaan.</w:t>
            </w:r>
          </w:p>
          <w:p w:rsidR="00C43078" w:rsidRDefault="005F255C">
            <w:pPr>
              <w:spacing w:after="60"/>
              <w:jc w:val="both"/>
            </w:pPr>
            <w:r>
              <w:rPr>
                <w:b/>
                <w:bCs/>
                <w:sz w:val="18"/>
                <w:szCs w:val="18"/>
              </w:rPr>
              <w:t>ABSTRACT</w:t>
            </w:r>
          </w:p>
          <w:p w:rsidR="00C43078" w:rsidRDefault="005F255C">
            <w:pPr>
              <w:spacing w:after="120"/>
              <w:jc w:val="both"/>
            </w:pPr>
            <w:r>
              <w:rPr>
                <w:i/>
                <w:iCs/>
                <w:sz w:val="18"/>
                <w:szCs w:val="18"/>
              </w:rPr>
              <w:t>This study addresses the problem of fluctuations in the firm value of manufacturing companies in the consumer goods industry sector during the 2020–2023 period, which reflect changes in company performance, financial structure, and growth prospects that ultimately influence investors’ decisions and interest in investing. The purpose of this study was to determine the effect of capital structure, profitability, and liquidity on firm value in manufacturing companies in the consumer goods industry sector listed on the Indonesia Stock Exchange. This study employed a quantitative approach using secondary data. The population consisted of 39 manufacturing companies in the consumer goods industry sector listed on the Indonesia Stock Exchange, while the sample comprised 14 companies selected through purposive sampling. The data analysis technique used was panel data regression analysis with the assistance of EViews 13 software. Firm value was used as the dependent variable (Y), while capital structure, profitability, and liquidity were used as independent variables (X). The results show that capital structure (DER) had no significant effect on firm value, profitability (ROA) had no significant effect on firm value, while liquidity (CR) had a positive and significant effect on firm value.</w:t>
            </w:r>
          </w:p>
          <w:p w:rsidR="00C43078" w:rsidRDefault="005F255C">
            <w:pPr>
              <w:spacing w:after="120"/>
              <w:jc w:val="both"/>
            </w:pPr>
            <w:r>
              <w:rPr>
                <w:b/>
                <w:bCs/>
                <w:i/>
                <w:iCs/>
                <w:sz w:val="18"/>
                <w:szCs w:val="18"/>
              </w:rPr>
              <w:t xml:space="preserve">Keywords: </w:t>
            </w:r>
            <w:r>
              <w:rPr>
                <w:i/>
                <w:iCs/>
                <w:sz w:val="18"/>
                <w:szCs w:val="18"/>
              </w:rPr>
              <w:t>Firm Value; Capital Structure; Profitability; Liquidity.</w:t>
            </w:r>
          </w:p>
        </w:tc>
      </w:tr>
      <w:tr w:rsidR="00C43078">
        <w:tc>
          <w:tcPr>
            <w:tcW w:w="3200" w:type="dxa"/>
            <w:tcBorders>
              <w:top w:val="none" w:sz="0" w:space="0" w:color="FFFFFF"/>
              <w:left w:val="none" w:sz="0" w:space="0" w:color="FFFFFF"/>
              <w:bottom w:val="single" w:sz="4" w:space="0" w:color="000000"/>
              <w:right w:val="none" w:sz="0" w:space="0" w:color="FFFFFF"/>
            </w:tcBorders>
          </w:tcPr>
          <w:p w:rsidR="00C43078" w:rsidRDefault="00C43078">
            <w:pPr>
              <w:jc w:val="both"/>
            </w:pPr>
          </w:p>
        </w:tc>
        <w:tc>
          <w:tcPr>
            <w:tcW w:w="6700" w:type="dxa"/>
            <w:tcBorders>
              <w:top w:val="none" w:sz="0" w:space="0" w:color="FFFFFF"/>
              <w:left w:val="none" w:sz="0" w:space="0" w:color="FFFFFF"/>
              <w:bottom w:val="single" w:sz="4" w:space="0" w:color="000000"/>
              <w:right w:val="none" w:sz="0" w:space="0" w:color="FFFFFF"/>
            </w:tcBorders>
          </w:tcPr>
          <w:p w:rsidR="00C43078" w:rsidRDefault="005F255C">
            <w:pPr>
              <w:spacing w:after="60"/>
              <w:jc w:val="center"/>
            </w:pPr>
            <w:r>
              <w:rPr>
                <w:i/>
                <w:iCs/>
                <w:sz w:val="16"/>
                <w:szCs w:val="16"/>
              </w:rPr>
              <w:t>This is an open access article under the CC BY-SA license.</w:t>
            </w:r>
          </w:p>
          <w:p w:rsidR="00C43078" w:rsidRDefault="005F255C">
            <w:pPr>
              <w:spacing w:after="60"/>
              <w:jc w:val="center"/>
            </w:pPr>
            <w:r>
              <w:rPr>
                <w:noProof/>
              </w:rPr>
              <w:drawing>
                <wp:inline distT="0" distB="0" distL="0" distR="0">
                  <wp:extent cx="1047750" cy="36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047750" cy="361950"/>
                          </a:xfrm>
                          <a:prstGeom prst="rect">
                            <a:avLst/>
                          </a:prstGeom>
                        </pic:spPr>
                      </pic:pic>
                    </a:graphicData>
                  </a:graphic>
                </wp:inline>
              </w:drawing>
            </w:r>
          </w:p>
        </w:tc>
      </w:tr>
      <w:tr w:rsidR="00C43078">
        <w:tc>
          <w:tcPr>
            <w:tcW w:w="3200" w:type="dxa"/>
            <w:gridSpan w:val="2"/>
            <w:tcBorders>
              <w:top w:val="none" w:sz="0" w:space="0" w:color="FFFFFF"/>
              <w:left w:val="none" w:sz="0" w:space="0" w:color="FFFFFF"/>
              <w:bottom w:val="none" w:sz="0" w:space="0" w:color="FFFFFF"/>
              <w:right w:val="none" w:sz="0" w:space="0" w:color="FFFFFF"/>
            </w:tcBorders>
          </w:tcPr>
          <w:p w:rsidR="00C43078" w:rsidRDefault="005F255C">
            <w:pPr>
              <w:spacing w:after="100"/>
              <w:jc w:val="both"/>
            </w:pPr>
            <w:r>
              <w:rPr>
                <w:b/>
                <w:bCs/>
                <w:i/>
                <w:iCs/>
                <w:sz w:val="18"/>
                <w:szCs w:val="18"/>
              </w:rPr>
              <w:t>Corresponding Author:</w:t>
            </w:r>
          </w:p>
          <w:p w:rsidR="00C43078" w:rsidRDefault="005F255C">
            <w:pPr>
              <w:spacing w:after="20"/>
              <w:jc w:val="both"/>
            </w:pPr>
            <w:r>
              <w:rPr>
                <w:sz w:val="18"/>
                <w:szCs w:val="18"/>
              </w:rPr>
              <w:t>Suratin</w:t>
            </w:r>
          </w:p>
          <w:p w:rsidR="00C43078" w:rsidRDefault="005F255C" w:rsidP="00F8657B">
            <w:pPr>
              <w:jc w:val="both"/>
            </w:pPr>
            <w:r>
              <w:rPr>
                <w:b/>
                <w:bCs/>
                <w:sz w:val="18"/>
                <w:szCs w:val="18"/>
              </w:rPr>
              <w:t>Program Studi Akuntansi</w:t>
            </w:r>
            <w:r w:rsidR="00F8657B">
              <w:t xml:space="preserve"> </w:t>
            </w:r>
            <w:r>
              <w:rPr>
                <w:b/>
                <w:bCs/>
                <w:sz w:val="18"/>
                <w:szCs w:val="18"/>
              </w:rPr>
              <w:t>Fakultas Syariah dan Ekonomi Islam</w:t>
            </w:r>
          </w:p>
          <w:p w:rsidR="00C43078" w:rsidRDefault="005F255C">
            <w:pPr>
              <w:spacing w:after="100"/>
              <w:jc w:val="both"/>
            </w:pPr>
            <w:r>
              <w:rPr>
                <w:b/>
                <w:bCs/>
                <w:sz w:val="18"/>
                <w:szCs w:val="18"/>
              </w:rPr>
              <w:t>IAIN Datuk Laksamana Bengkalis</w:t>
            </w:r>
          </w:p>
          <w:p w:rsidR="00C43078" w:rsidRDefault="005F255C">
            <w:pPr>
              <w:jc w:val="both"/>
            </w:pPr>
            <w:r>
              <w:rPr>
                <w:sz w:val="18"/>
                <w:szCs w:val="18"/>
              </w:rPr>
              <w:t>Email: suratin0623@gmail.com</w:t>
            </w:r>
          </w:p>
        </w:tc>
      </w:tr>
    </w:tbl>
    <w:p w:rsidR="00C43078" w:rsidRDefault="00C43078">
      <w:pPr>
        <w:spacing w:after="200"/>
        <w:jc w:val="both"/>
      </w:pPr>
    </w:p>
    <w:p w:rsidR="00F8657B" w:rsidRDefault="00F8657B">
      <w:pPr>
        <w:spacing w:after="200"/>
        <w:jc w:val="both"/>
      </w:pPr>
    </w:p>
    <w:p w:rsidR="00C43078" w:rsidRDefault="00F8657B" w:rsidP="00F8657B">
      <w:pPr>
        <w:spacing w:before="200" w:after="100"/>
      </w:pPr>
      <w:r>
        <w:rPr>
          <w:b/>
          <w:bCs/>
        </w:rPr>
        <w:lastRenderedPageBreak/>
        <w:t>1. PENDAHULUAN</w:t>
      </w:r>
    </w:p>
    <w:p w:rsidR="00C43078" w:rsidRDefault="005F255C">
      <w:pPr>
        <w:ind w:firstLine="576"/>
        <w:jc w:val="both"/>
      </w:pPr>
      <w:r>
        <w:t>Perkembangan dunia bisnis yang semakin kompetitif menuntut perusahaan untuk mampu meningkatkan kinerja dan mempertahankan keberlangsungan usahanya. Salah satu indikator penting dalam menilai keberhasilan suatu perusahaan adalah nilai perusahaan. Nilai perusahaan mencerminkan persepsi investor terhadap tingkat keberhasilan perusahaan dalam mengelola sumber daya yang dimiliki serta prospek perusahaan di masa mendatang. Semakin tinggi nilai perusahaan, maka semakin tinggi pula tingkat kepercayaan investor terhadap perusahaan tersebut. Oleh karena itu, perusahaan dituntut untuk mampu mengelola kondisi keuangannya secara optimal agar dapat meningkatkan nilai perusahaan.</w:t>
      </w:r>
    </w:p>
    <w:p w:rsidR="00C43078" w:rsidRDefault="005F255C">
      <w:pPr>
        <w:ind w:firstLine="576"/>
        <w:jc w:val="both"/>
      </w:pPr>
      <w:r>
        <w:t>Fenomena yang melatarbelakangi penelitian ini adalah fluktuasi nilai perusahaan manufaktur sektor industri barang konsumsi di Indonesia selama periode 2020–2023. Data dari Bursa Efek Indonesia menunjukkan bahwa sektor ini mengalami pertumbuhan yang bervariasi, dengan beberapa perusahaan menunjukkan peningkatan nilai pasar yang signifikan, sementara yang lain mengalami penurunan. Sebagai contoh, PT Indofood Sukses Makmur Tbk mencatatkan peningkatan nilai pasar sebesar 15% pada tahun 2021, sedangkan PT Mayora Indah Tbk mengalami penurunan sebesar 10% pada tahun yang sama. Variasi ini dapat disebabkan oleh perbedaan dalam pengelolaan struktur modal, tingkat profitabilitas, dan likuiditas masing-masing perusahaan. Selain itu, data dari Badan Pusat Statistik menunjukkan bahwa sektor industri barang konsumsi mengalami pertumbuhan PDB sebesar 3</w:t>
      </w:r>
      <w:proofErr w:type="gramStart"/>
      <w:r>
        <w:t>,5</w:t>
      </w:r>
      <w:proofErr w:type="gramEnd"/>
      <w:r>
        <w:t>% pada tahun 2021, namun pertumbuhan ini tidak merata di seluruh subsektor. Hal ini menimbulkan pertanyaan mengenai faktor-faktor internal yang memengaruhi nilai perusahaan dalam sektor ini. Dengan demikian, penelitian ini bertujuan untuk mengidentifikasi dan menganalisis pengaruh struktur modal, profitabilitas, dan likuiditas terhadap nilai perusahaan manufaktur sektor industri barang konsumsi di Indonesia selama periode 2020–2023 ditinjau dari perspektif syariah.</w:t>
      </w:r>
    </w:p>
    <w:p w:rsidR="00C43078" w:rsidRDefault="005F255C">
      <w:pPr>
        <w:ind w:firstLine="576"/>
        <w:jc w:val="both"/>
      </w:pPr>
      <w:r>
        <w:t xml:space="preserve">Struktur modal adalah perimbangan antara penggunaan atau pemakaian pinjaman jangka panjang dengan penggunaan modal milik sendiri, yaitu seberapa besar modal sendiri dan seberapa besar utang jangka panjang yang </w:t>
      </w:r>
      <w:proofErr w:type="gramStart"/>
      <w:r>
        <w:t>akan</w:t>
      </w:r>
      <w:proofErr w:type="gramEnd"/>
      <w:r>
        <w:t xml:space="preserve"> digunakan perusahaan sehingga strukturnya menjadi optimal. Dengan struktur modal yang optimal, perusahaan </w:t>
      </w:r>
      <w:proofErr w:type="gramStart"/>
      <w:r>
        <w:t>akan</w:t>
      </w:r>
      <w:proofErr w:type="gramEnd"/>
      <w:r>
        <w:t xml:space="preserve"> menghasilkan tingkat pengembalian yang optimal pula, sehingga bukan hanya perusahaan yang memperoleh keuntungan, tetapi juga para pemegang saham [1]. Jenis rasio struktur modal yang digunakan dalam penelitian ini adalah Total Debt to Equity Ratio (DER).</w:t>
      </w:r>
    </w:p>
    <w:p w:rsidR="00C43078" w:rsidRDefault="005F255C">
      <w:pPr>
        <w:ind w:firstLine="576"/>
        <w:jc w:val="both"/>
      </w:pPr>
      <w:r>
        <w:t xml:space="preserve">Profitabilitas adalah kemampuan suatu perusahaan untuk memperoleh keuntungan (profit) yang berhubungan dengan total aktiva (total asset), penjualan (sales), </w:t>
      </w:r>
      <w:proofErr w:type="gramStart"/>
      <w:r>
        <w:t>dan</w:t>
      </w:r>
      <w:proofErr w:type="gramEnd"/>
      <w:r>
        <w:t xml:space="preserve"> modal sendiri (equity). Perusahaan dengan profitabilitas yang tinggi menandakan bahwa manajer perusahaan telah berhasil memaksimalkan penggunaan struktur modalnya untuk memperoleh keuntungan [2]. Jenis rasio profitabilitas yang digunakan dalam penelitian ini adalah Return on Assets (ROA), yaitu rasio yang mengukur kemampuan perusahaan secara keseluruhan dalam menghasilkan keuntungan dengan jumlah keseluruhan aktiva yang tersedia di dalam perusahaan.</w:t>
      </w:r>
    </w:p>
    <w:p w:rsidR="00C43078" w:rsidRDefault="005F255C">
      <w:pPr>
        <w:ind w:firstLine="576"/>
        <w:jc w:val="both"/>
      </w:pPr>
      <w:r>
        <w:t xml:space="preserve">Likuiditas merupakan indikator mengenai kemampuan perusahaan untuk membayar seluruh kewajiban finansial jangka pendek pada saat jatuh tempo dengan menggunakan aktiva lancar yang tersedia. Likuiditas diukur dengan rasio aktiva lancar dibagi dengan kewajiban lancar. Likuiditas perusahaan berperan cukup penting dalam kelangsungan perusahaan; perusahaan yang tidak dapat mencapai tingkat likuiditas yang baik </w:t>
      </w:r>
      <w:proofErr w:type="gramStart"/>
      <w:r>
        <w:t>akan</w:t>
      </w:r>
      <w:proofErr w:type="gramEnd"/>
      <w:r>
        <w:t xml:space="preserve"> menurunkan kepercayaan pihak eksternal, khususnya kreditur, untuk memberikan pinjaman, yang pada gilirannya menurunkan kemampuan perusahaan mengembangkan usahanya [3]. Jenis rasio likuiditas yang digunakan dalam penelitian ini adalah Current Ratio (CR), yaitu perbandingan antara aktiva lancar dan kewajiban lancar yang merupakan ukuran paling umum untuk mengetahui kesanggupan perusahaan memenuhi kewajiban jangka pendeknya.</w:t>
      </w:r>
    </w:p>
    <w:p w:rsidR="00C43078" w:rsidRDefault="005F255C">
      <w:pPr>
        <w:ind w:firstLine="576"/>
        <w:jc w:val="both"/>
      </w:pPr>
      <w:r>
        <w:t xml:space="preserve">Nilai perusahaan merupakan nilai jual perusahaan sebagai suatu bisnis yang sedang beroperasi. Hal ini mencerminkan penilaian masyarakat terhadap kinerja perusahaan tersebut. Meningkatkan nilai saham perusahaan di pasar modal merupakan salah satu </w:t>
      </w:r>
      <w:proofErr w:type="gramStart"/>
      <w:r>
        <w:t>cara</w:t>
      </w:r>
      <w:proofErr w:type="gramEnd"/>
      <w:r>
        <w:t xml:space="preserve"> untuk memperoleh laba yang diinginkan [4]. Jenis nilai perusahaan yang digunakan dalam penelitian ini adalah Price to Book Value (PBV), yaitu perbandingan antara harga saham dengan nilai buku per saham yang merupakan indikator umum untuk mengukur seberapa besar pasar menghargai nilai ekuitas perusahaan.</w:t>
      </w:r>
    </w:p>
    <w:p w:rsidR="00C43078" w:rsidRDefault="005F255C">
      <w:pPr>
        <w:ind w:firstLine="576"/>
        <w:jc w:val="both"/>
      </w:pPr>
      <w:r>
        <w:t>Beberapa penelitian terdahulu telah mengkaji hubungan antara struktur modal, profitabilitas, likuiditas, dan nilai perusahaan, namun hasilnya masih menunjukkan ketidakkonsistenan. Penelitian oleh Wirawan et al. (2023) menemukan bahwa struktur modal dan likuiditas berpengaruh negatif terhadap nilai perusahaan, sementara profitabilitas berpengaruh positif [5]. Penelitian lain oleh Hadi dan Budiman (2023) mengungkapkan bahwa profitabilitas dan struktur modal memiliki hubungan positif signifikan terhadap nilai perusahaan, sementara likuiditas dan kebijakan dividen tidak berpengaruh signifikan [6]. Perbedaan hasil ini menunjukkan perlunya penelitian lebih lanjut untuk memahami hubungan antara ketiga variabel tersebut dan nilai perusahaan dalam konteks perusahaan manufaktur sektor industri barang konsumsi di Indonesia.</w:t>
      </w:r>
    </w:p>
    <w:p w:rsidR="00C43078" w:rsidRDefault="005F255C">
      <w:pPr>
        <w:ind w:firstLine="576"/>
        <w:jc w:val="both"/>
      </w:pPr>
      <w:r>
        <w:t xml:space="preserve">Dengan demikian, masih terdapat kesenjangan penelitian (research gap) dalam kajian ini, yaitu perlunya analisis yang meneliti pengaruh struktur modal, profitabilitas, dan likuiditas terhadap nilai perusahaan dengan mempertimbangkan perspektif syariah secara eksplisit. Penelitian dengan sudut pandang ini diharapkan dapat </w:t>
      </w:r>
      <w:r>
        <w:lastRenderedPageBreak/>
        <w:t>memberikan pemahaman yang lebih komprehensif mengenai bagaimana prinsip syariah memoderasi hubungan antarvariabel keuangan tersebut, sekaligus menjelaskan perbedaan hasil penelitian sebelumnya. Oleh karena itu, penelitian ini penting dilakukan untuk memberikan kontribusi empiris terhadap pengembangan ilmu keuangan syariah, khususnya dalam konteks pasar modal Indonesia.</w:t>
      </w:r>
    </w:p>
    <w:p w:rsidR="00C43078" w:rsidRDefault="005F255C">
      <w:pPr>
        <w:ind w:firstLine="576"/>
        <w:jc w:val="both"/>
      </w:pPr>
      <w:r>
        <w:t xml:space="preserve">Tujuan utama dari penelitian ini adalah untuk menganalisis pengaruh struktur modal, profitabilitas, dan likuiditas terhadap nilai perusahaan pada perusahaan manufaktur sektor industri barang konsumsi yang terdaftar di Bursa Efek Indonesia selama periode 2020–2023. Penelitian ini penting secara akademik karena </w:t>
      </w:r>
      <w:proofErr w:type="gramStart"/>
      <w:r>
        <w:t>akan</w:t>
      </w:r>
      <w:proofErr w:type="gramEnd"/>
      <w:r>
        <w:t xml:space="preserve"> memperkaya literatur mengenai faktor-faktor yang memengaruhi nilai perusahaan dalam konteks ekonomi yang berubah akibat pandemi. Secara praktis, hasil penelitian ini dapat digunakan oleh manajemen perusahaan untuk merumuskan strategi keuangan yang lebih efektif dalam meningkatkan nilai perusahaan. Selain itu, investor dan pemangku kepentingan lainnya dapat menggunakan temuan penelitian ini sebagai dasar dalam pengambilan keputusan investasi.</w:t>
      </w:r>
    </w:p>
    <w:p w:rsidR="00C43078" w:rsidRDefault="005F255C" w:rsidP="00F8657B">
      <w:pPr>
        <w:spacing w:before="200" w:after="100"/>
      </w:pPr>
      <w:r>
        <w:rPr>
          <w:b/>
          <w:bCs/>
        </w:rPr>
        <w:t xml:space="preserve">2. </w:t>
      </w:r>
      <w:r w:rsidR="00F8657B">
        <w:rPr>
          <w:b/>
          <w:bCs/>
        </w:rPr>
        <w:t>METODOLOGI</w:t>
      </w:r>
    </w:p>
    <w:p w:rsidR="00C43078" w:rsidRDefault="005F255C">
      <w:pPr>
        <w:ind w:firstLine="576"/>
        <w:jc w:val="both"/>
      </w:pPr>
      <w:r>
        <w:t>Jenis penelitian yang digunakan dalam penelitian ini adalah metode kuantitatif dengan pendekatan asosiatif. Penelitian ini menggunakan pendekatan kuantitatif untuk menganalisis pengaruh struktur modal, profitabilitas, dan likuiditas terhadap nilai perusahaan pada perusahaan manufaktur sektor industri barang konsumsi periode 2020–2023. Data yang digunakan adalah data sekunder berupa laporan keuangan dan nilai perusahaan yang diperoleh dari perusahaan yang terdaftar di Bursa Efek Indonesia.</w:t>
      </w:r>
    </w:p>
    <w:p w:rsidR="00C43078" w:rsidRDefault="005F255C">
      <w:pPr>
        <w:ind w:firstLine="576"/>
        <w:jc w:val="both"/>
      </w:pPr>
      <w:r>
        <w:t>Populasi adalah keseluruhan objek atau subjek yang mempunyai karakteristik dan kualitas tertentu yang ditetapkan oleh peneliti untuk diteliti dan ditarik kesimpulannya, atau dapat dikatakan sebagai kumpulan menyeluruh dari objek yang menjadi perhatian peneliti [7]. Pada penelitian ini, populasi yang digunakan adalah 39 perusahaan manufaktur sektor industri barang konsumsi yang terdaftar di Bursa Efek Indonesia dengan periode pengamatan empat tahun, yaitu 2020–2023.</w:t>
      </w:r>
    </w:p>
    <w:p w:rsidR="00C43078" w:rsidRDefault="005F255C">
      <w:pPr>
        <w:ind w:firstLine="576"/>
        <w:jc w:val="both"/>
      </w:pPr>
      <w:r>
        <w:t>Sampel secara sederhana diartikan sebagai bagian dari populasi yang menjadi sumber data sebenarnya dalam suatu penelitian, atau sebagian dari populasi yang mewakili keseluruhan populasi [8]. Pengambilan sampel dilakukan dengan metode purposive sampling, yaitu berdasarkan kriteria tertentu agar data yang digunakan relevan dengan penelitian. Pada penelitian ini, sampel yang digunakan adalah 14 perusahaan.</w:t>
      </w:r>
    </w:p>
    <w:p w:rsidR="00C43078" w:rsidRDefault="005F255C">
      <w:pPr>
        <w:ind w:firstLine="576"/>
        <w:jc w:val="both"/>
      </w:pPr>
      <w:r>
        <w:t>Teknik analisis yang digunakan adalah regresi data panel dengan bantuan aplikasi EViews 13, yang meliputi uji asumsi klasik, pemilihan model, serta uji hipotesis (uji t, uji F, dan koefisien determinasi). Keterbatasan penelitian ini meliputi penggunaan variabel yang terbatas (struktur modal, profitabilitas, dan likuiditas), periode penelitian yang relatif singkat (2020–2023), serta keterbatasan jumlah sampel dan data yang tersedia.</w:t>
      </w:r>
    </w:p>
    <w:p w:rsidR="00C43078" w:rsidRDefault="005F255C" w:rsidP="00F8657B">
      <w:pPr>
        <w:spacing w:before="200" w:after="100"/>
      </w:pPr>
      <w:r>
        <w:rPr>
          <w:b/>
          <w:bCs/>
        </w:rPr>
        <w:t xml:space="preserve">3. </w:t>
      </w:r>
      <w:r w:rsidR="00F8657B">
        <w:rPr>
          <w:b/>
          <w:bCs/>
        </w:rPr>
        <w:t>HASIL DAN PEMBAHASAN</w:t>
      </w:r>
    </w:p>
    <w:p w:rsidR="00C43078" w:rsidRDefault="00F8657B">
      <w:pPr>
        <w:spacing w:before="200" w:after="100"/>
      </w:pPr>
      <w:r>
        <w:rPr>
          <w:b/>
          <w:bCs/>
        </w:rPr>
        <w:t>Hasil</w:t>
      </w:r>
    </w:p>
    <w:p w:rsidR="00C43078" w:rsidRDefault="005F255C">
      <w:pPr>
        <w:ind w:firstLine="576"/>
        <w:jc w:val="both"/>
      </w:pPr>
      <w:r>
        <w:t>Penelitian ini menggunakan regresi data panel untuk menganalisis pengaruh struktur modal, profitabilitas, dan likuiditas terhadap nilai perusahaan pada perusahaan manufaktur sektor industri barang konsumsi yang terdaftar di Bursa Efek Indonesia periode 2020–2023. Berdasarkan hasil uji pemilihan model, model terbaik yang digunakan adalah Random Effect Model (REM). Hasil pengolahan data menunjukkan bahwa secara parsial struktur modal dan profitabilitas tidak berpengaruh signifikan terhadap nilai perusahaan, sedangkan likuiditas berpengaruh positif dan signifikan terhadap nilai perusahaan. Secara simultan, struktur modal, profitabilitas, dan likuiditas tidak berpengaruh signifikan terhadap nilai perusahaan.</w:t>
      </w:r>
    </w:p>
    <w:p w:rsidR="00C43078" w:rsidRDefault="005F255C">
      <w:pPr>
        <w:spacing w:before="160" w:after="80"/>
      </w:pPr>
      <w:r>
        <w:rPr>
          <w:b/>
          <w:bCs/>
        </w:rPr>
        <w:t>3.1. Uji Asumsi Klasik</w:t>
      </w:r>
    </w:p>
    <w:p w:rsidR="00C43078" w:rsidRDefault="005F255C">
      <w:pPr>
        <w:ind w:firstLine="576"/>
        <w:jc w:val="both"/>
      </w:pPr>
      <w:r>
        <w:t>Uji asumsi klasik merupakan pengujian yang dilakukan dalam analisis regresi data panel untuk memastikan bahwa model yang digunakan memenuhi syarat statistik sehingga menghasilkan estimasi yang akurat, konsisten, dan dapat dipercaya. Dalam penelitian ini, uji asumsi klasik meliputi uji normalitas, uji multikolinearitas, uji heteroskedastisitas, dan uji autokorelasi.</w:t>
      </w:r>
    </w:p>
    <w:p w:rsidR="00F8657B" w:rsidRDefault="00F8657B">
      <w:pPr>
        <w:spacing w:before="160" w:after="80"/>
        <w:rPr>
          <w:b/>
          <w:bCs/>
        </w:rPr>
      </w:pPr>
    </w:p>
    <w:p w:rsidR="00F8657B" w:rsidRDefault="00F8657B">
      <w:pPr>
        <w:spacing w:before="160" w:after="80"/>
        <w:rPr>
          <w:b/>
          <w:bCs/>
        </w:rPr>
      </w:pPr>
    </w:p>
    <w:p w:rsidR="00F8657B" w:rsidRDefault="00F8657B">
      <w:pPr>
        <w:spacing w:before="160" w:after="80"/>
        <w:rPr>
          <w:b/>
          <w:bCs/>
        </w:rPr>
      </w:pPr>
    </w:p>
    <w:p w:rsidR="00F8657B" w:rsidRDefault="00F8657B">
      <w:pPr>
        <w:spacing w:before="160" w:after="80"/>
        <w:rPr>
          <w:b/>
          <w:bCs/>
        </w:rPr>
      </w:pPr>
    </w:p>
    <w:p w:rsidR="00F8657B" w:rsidRDefault="00F8657B">
      <w:pPr>
        <w:spacing w:before="160" w:after="80"/>
        <w:rPr>
          <w:b/>
          <w:bCs/>
        </w:rPr>
      </w:pPr>
    </w:p>
    <w:p w:rsidR="00F8657B" w:rsidRDefault="00F8657B">
      <w:pPr>
        <w:spacing w:before="160" w:after="80"/>
        <w:rPr>
          <w:b/>
          <w:bCs/>
        </w:rPr>
      </w:pPr>
    </w:p>
    <w:p w:rsidR="00C43078" w:rsidRDefault="005F255C">
      <w:pPr>
        <w:spacing w:before="160" w:after="80"/>
      </w:pPr>
      <w:r>
        <w:rPr>
          <w:b/>
          <w:bCs/>
        </w:rPr>
        <w:lastRenderedPageBreak/>
        <w:t>3.1.1. Uji Normalitas</w:t>
      </w:r>
    </w:p>
    <w:p w:rsidR="00C43078" w:rsidRDefault="005F255C">
      <w:pPr>
        <w:spacing w:after="60"/>
        <w:jc w:val="center"/>
      </w:pPr>
      <w:r>
        <w:rPr>
          <w:noProof/>
        </w:rPr>
        <w:drawing>
          <wp:inline distT="0" distB="0" distL="0" distR="0">
            <wp:extent cx="4210050" cy="1552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4210050" cy="1552575"/>
                    </a:xfrm>
                    <a:prstGeom prst="rect">
                      <a:avLst/>
                    </a:prstGeom>
                  </pic:spPr>
                </pic:pic>
              </a:graphicData>
            </a:graphic>
          </wp:inline>
        </w:drawing>
      </w:r>
    </w:p>
    <w:p w:rsidR="00C43078" w:rsidRDefault="005F255C">
      <w:pPr>
        <w:spacing w:after="40"/>
        <w:jc w:val="center"/>
      </w:pPr>
      <w:r>
        <w:t>Gambar 1. Hasil Uji Normalitas</w:t>
      </w:r>
    </w:p>
    <w:p w:rsidR="00C43078" w:rsidRDefault="005F255C">
      <w:pPr>
        <w:spacing w:after="200"/>
        <w:jc w:val="center"/>
      </w:pPr>
      <w:r>
        <w:rPr>
          <w:i/>
          <w:iCs/>
          <w:sz w:val="18"/>
          <w:szCs w:val="18"/>
        </w:rPr>
        <w:t>Sumber: Hasil Output Regresi Data Panel EViews 13 (2026)</w:t>
      </w:r>
    </w:p>
    <w:p w:rsidR="00C43078" w:rsidRDefault="005F255C">
      <w:pPr>
        <w:ind w:firstLine="576"/>
        <w:jc w:val="both"/>
      </w:pPr>
      <w:r>
        <w:t>Dari grafik histogram dan hasil uji normalitas di atas, dapat dilihat bahwa nilai Jarque-Bera sebesar 1,601818 dengan nilai probabilitas sebesar 0,448921, lebih besar dari 0,05 (0,448921 &gt; 0,05), sehingga dapat disimpulkan bahwa data terdistribusi normal.</w:t>
      </w:r>
    </w:p>
    <w:p w:rsidR="00C43078" w:rsidRDefault="005F255C">
      <w:pPr>
        <w:spacing w:before="160" w:after="80"/>
      </w:pPr>
      <w:r>
        <w:rPr>
          <w:b/>
          <w:bCs/>
        </w:rPr>
        <w:t>3.1.2. Uji Multikolinearitas</w:t>
      </w:r>
    </w:p>
    <w:p w:rsidR="00C43078" w:rsidRDefault="005F255C">
      <w:pPr>
        <w:spacing w:before="160" w:after="60"/>
        <w:jc w:val="center"/>
      </w:pPr>
      <w:r>
        <w:rPr>
          <w:b/>
          <w:bCs/>
        </w:rPr>
        <w:t>Tabel 1. Hasil Uji Multikolinearitas</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42"/>
        <w:gridCol w:w="2532"/>
        <w:gridCol w:w="2152"/>
        <w:gridCol w:w="1952"/>
      </w:tblGrid>
      <w:tr w:rsidR="00C43078">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Variabel</w:t>
            </w:r>
          </w:p>
        </w:tc>
        <w:tc>
          <w:tcPr>
            <w:tcW w:w="26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Coefficient Variance</w:t>
            </w:r>
          </w:p>
        </w:tc>
        <w:tc>
          <w:tcPr>
            <w:tcW w:w="22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Uncentered VIF</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Centered VIF</w:t>
            </w:r>
          </w:p>
        </w:tc>
      </w:tr>
      <w:tr w:rsidR="00C43078">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C</w:t>
            </w:r>
          </w:p>
        </w:tc>
        <w:tc>
          <w:tcPr>
            <w:tcW w:w="2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0.639149</w:t>
            </w:r>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9.781765</w:t>
            </w:r>
          </w:p>
        </w:tc>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NA</w:t>
            </w:r>
          </w:p>
        </w:tc>
      </w:tr>
      <w:tr w:rsidR="00C43078">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DER</w:t>
            </w:r>
          </w:p>
        </w:tc>
        <w:tc>
          <w:tcPr>
            <w:tcW w:w="2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0.000131</w:t>
            </w:r>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4.395255</w:t>
            </w:r>
          </w:p>
        </w:tc>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1.137269</w:t>
            </w:r>
          </w:p>
        </w:tc>
      </w:tr>
      <w:tr w:rsidR="00C43078">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ROA</w:t>
            </w:r>
          </w:p>
        </w:tc>
        <w:tc>
          <w:tcPr>
            <w:tcW w:w="2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0.000390</w:t>
            </w:r>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2.360710</w:t>
            </w:r>
          </w:p>
        </w:tc>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1.150664</w:t>
            </w:r>
          </w:p>
        </w:tc>
      </w:tr>
      <w:tr w:rsidR="00C43078">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CR</w:t>
            </w:r>
          </w:p>
        </w:tc>
        <w:tc>
          <w:tcPr>
            <w:tcW w:w="2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0.000133</w:t>
            </w:r>
          </w:p>
        </w:tc>
        <w:tc>
          <w:tcPr>
            <w:tcW w:w="22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3.497821</w:t>
            </w:r>
          </w:p>
        </w:tc>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1.012650</w:t>
            </w:r>
          </w:p>
        </w:tc>
      </w:tr>
    </w:tbl>
    <w:p w:rsidR="00C43078" w:rsidRDefault="005F255C">
      <w:pPr>
        <w:spacing w:after="200"/>
      </w:pPr>
      <w:r>
        <w:rPr>
          <w:i/>
          <w:iCs/>
          <w:sz w:val="18"/>
          <w:szCs w:val="18"/>
        </w:rPr>
        <w:t>Sumber: Hasil Output Regresi Data Panel EViews 13 (2026)</w:t>
      </w:r>
    </w:p>
    <w:p w:rsidR="00C43078" w:rsidRDefault="005F255C">
      <w:pPr>
        <w:ind w:firstLine="576"/>
        <w:jc w:val="both"/>
      </w:pPr>
      <w:r>
        <w:t>Berdasarkan tabel hasil output data panel di atas, diperoleh nilai bahwa seluruh variabel independen memiliki nilai Centered VIF di bawah 10. Maka dapat disimpulkan bahwa data yang digunakan tidak mengalami gejala multikolinearitas, atau bebas dari uji multikolinearitas.</w:t>
      </w:r>
    </w:p>
    <w:p w:rsidR="00C43078" w:rsidRDefault="005F255C">
      <w:pPr>
        <w:spacing w:before="160" w:after="80"/>
      </w:pPr>
      <w:r>
        <w:rPr>
          <w:b/>
          <w:bCs/>
        </w:rPr>
        <w:t>3.1.3. Uji Heteroskedastisitas</w:t>
      </w:r>
    </w:p>
    <w:p w:rsidR="00C43078" w:rsidRDefault="005F255C">
      <w:pPr>
        <w:spacing w:before="160" w:after="60"/>
        <w:jc w:val="center"/>
      </w:pPr>
      <w:r>
        <w:rPr>
          <w:b/>
          <w:bCs/>
        </w:rPr>
        <w:t>Tabel 2. Hasil Uji Heteroskedastisitas (Glejser)</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8"/>
        <w:gridCol w:w="2638"/>
        <w:gridCol w:w="2632"/>
      </w:tblGrid>
      <w:tr w:rsidR="00C43078">
        <w:trPr>
          <w:tblHeader/>
        </w:trPr>
        <w:tc>
          <w:tcPr>
            <w:tcW w:w="36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Statistik Uji</w:t>
            </w:r>
          </w:p>
        </w:tc>
        <w:tc>
          <w:tcPr>
            <w:tcW w:w="2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Nilai</w:t>
            </w:r>
          </w:p>
        </w:tc>
        <w:tc>
          <w:tcPr>
            <w:tcW w:w="2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Prob.</w:t>
            </w:r>
          </w:p>
        </w:tc>
      </w:tr>
      <w:tr w:rsidR="00C43078">
        <w:tc>
          <w:tcPr>
            <w:tcW w:w="3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F-statistic</w:t>
            </w:r>
          </w:p>
        </w:tc>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2.264187</w:t>
            </w:r>
          </w:p>
        </w:tc>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0.0919</w:t>
            </w:r>
          </w:p>
        </w:tc>
      </w:tr>
      <w:tr w:rsidR="00C43078">
        <w:tc>
          <w:tcPr>
            <w:tcW w:w="3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Obs*R-squared</w:t>
            </w:r>
          </w:p>
        </w:tc>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6.469925</w:t>
            </w:r>
          </w:p>
        </w:tc>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0.0909</w:t>
            </w:r>
          </w:p>
        </w:tc>
      </w:tr>
      <w:tr w:rsidR="00C43078">
        <w:tc>
          <w:tcPr>
            <w:tcW w:w="3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Scaled explained SS</w:t>
            </w:r>
          </w:p>
        </w:tc>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7.363260</w:t>
            </w:r>
          </w:p>
        </w:tc>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0.0612</w:t>
            </w:r>
          </w:p>
        </w:tc>
      </w:tr>
    </w:tbl>
    <w:p w:rsidR="00C43078" w:rsidRDefault="005F255C">
      <w:pPr>
        <w:spacing w:after="200"/>
      </w:pPr>
      <w:r>
        <w:rPr>
          <w:i/>
          <w:iCs/>
          <w:sz w:val="18"/>
          <w:szCs w:val="18"/>
        </w:rPr>
        <w:t>Sumber: Hasil Output Regresi Data Panel EViews 13 (2026)</w:t>
      </w:r>
    </w:p>
    <w:p w:rsidR="00C43078" w:rsidRDefault="005F255C">
      <w:pPr>
        <w:ind w:firstLine="576"/>
        <w:jc w:val="both"/>
      </w:pPr>
      <w:r>
        <w:t>Berdasarkan hasil output uji di atas, dapat disimpulkan bahwa tidak terjadi heteroskedastisitas. Hal ini dapat dilihat dari nilai probabilitas (Prob. Chi-Square) sebesar 0</w:t>
      </w:r>
      <w:proofErr w:type="gramStart"/>
      <w:r>
        <w:t>,0909</w:t>
      </w:r>
      <w:proofErr w:type="gramEnd"/>
      <w:r>
        <w:t xml:space="preserve"> yang lebih besar dari 0,05 (0,0909 &gt; 0,05), sehingga data dinyatakan bersifat homoskedastis atau bebas dari gejala heteroskedastisitas.</w:t>
      </w:r>
    </w:p>
    <w:p w:rsidR="00C43078" w:rsidRDefault="005F255C">
      <w:pPr>
        <w:spacing w:before="160" w:after="80"/>
      </w:pPr>
      <w:r>
        <w:rPr>
          <w:b/>
          <w:bCs/>
        </w:rPr>
        <w:t>3.1.4. Uji Autokorelasi</w:t>
      </w:r>
    </w:p>
    <w:p w:rsidR="00C43078" w:rsidRDefault="005F255C">
      <w:pPr>
        <w:spacing w:before="160" w:after="60"/>
        <w:jc w:val="center"/>
      </w:pPr>
      <w:r>
        <w:rPr>
          <w:b/>
          <w:bCs/>
        </w:rPr>
        <w:t>Tabel 3. Hasil Uji Autokorelasi (Breusch-Godfrey LM Test)</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7"/>
        <w:gridCol w:w="2639"/>
        <w:gridCol w:w="2632"/>
      </w:tblGrid>
      <w:tr w:rsidR="00C43078">
        <w:trPr>
          <w:tblHeader/>
        </w:trPr>
        <w:tc>
          <w:tcPr>
            <w:tcW w:w="36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Statistik Uji</w:t>
            </w:r>
          </w:p>
        </w:tc>
        <w:tc>
          <w:tcPr>
            <w:tcW w:w="2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Nilai</w:t>
            </w:r>
          </w:p>
        </w:tc>
        <w:tc>
          <w:tcPr>
            <w:tcW w:w="2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Prob.</w:t>
            </w:r>
          </w:p>
        </w:tc>
      </w:tr>
      <w:tr w:rsidR="00C43078">
        <w:tc>
          <w:tcPr>
            <w:tcW w:w="3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F-statistic</w:t>
            </w:r>
          </w:p>
        </w:tc>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0.948769</w:t>
            </w:r>
          </w:p>
        </w:tc>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0.3942</w:t>
            </w:r>
          </w:p>
        </w:tc>
      </w:tr>
      <w:tr w:rsidR="00C43078">
        <w:tc>
          <w:tcPr>
            <w:tcW w:w="3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Obs*R-squared</w:t>
            </w:r>
          </w:p>
        </w:tc>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2.050484</w:t>
            </w:r>
          </w:p>
        </w:tc>
        <w:tc>
          <w:tcPr>
            <w:tcW w:w="2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0.3587</w:t>
            </w:r>
          </w:p>
        </w:tc>
      </w:tr>
    </w:tbl>
    <w:p w:rsidR="00C43078" w:rsidRDefault="005F255C">
      <w:pPr>
        <w:spacing w:after="200"/>
      </w:pPr>
      <w:r>
        <w:rPr>
          <w:i/>
          <w:iCs/>
          <w:sz w:val="18"/>
          <w:szCs w:val="18"/>
        </w:rPr>
        <w:t>Sumber: Hasil Output Regresi Data Panel EViews 13 (2026)</w:t>
      </w:r>
    </w:p>
    <w:p w:rsidR="00C43078" w:rsidRDefault="005F255C">
      <w:pPr>
        <w:ind w:firstLine="576"/>
        <w:jc w:val="both"/>
      </w:pPr>
      <w:r>
        <w:lastRenderedPageBreak/>
        <w:t>Berdasarkan hasil output uji di atas, dapat disimpulkan bahwa tidak terdapat masalah autokorelasi. Hal ini dapat dilihat dari nilai Prob. Chi-Square sebesar 0</w:t>
      </w:r>
      <w:proofErr w:type="gramStart"/>
      <w:r>
        <w:t>,3587</w:t>
      </w:r>
      <w:proofErr w:type="gramEnd"/>
      <w:r>
        <w:t>, lebih besar dari 0,05 (0,3587 &gt; 0,05), sehingga dapat diartikan tidak terdapat masalah autokorelasi.</w:t>
      </w:r>
    </w:p>
    <w:p w:rsidR="00C43078" w:rsidRDefault="005F255C">
      <w:pPr>
        <w:spacing w:before="160" w:after="80"/>
      </w:pPr>
      <w:r>
        <w:rPr>
          <w:b/>
          <w:bCs/>
        </w:rPr>
        <w:t>3.2. Pemilihan Model Regresi Data Panel</w:t>
      </w:r>
    </w:p>
    <w:p w:rsidR="00C43078" w:rsidRDefault="005F255C">
      <w:pPr>
        <w:spacing w:before="160" w:after="60"/>
        <w:jc w:val="center"/>
      </w:pPr>
      <w:r>
        <w:rPr>
          <w:b/>
          <w:bCs/>
        </w:rPr>
        <w:t>Tabel 4. Hasil Pengujian Pemilihan Model</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82"/>
        <w:gridCol w:w="2539"/>
        <w:gridCol w:w="3697"/>
        <w:gridCol w:w="1660"/>
      </w:tblGrid>
      <w:tr w:rsidR="00C43078">
        <w:trPr>
          <w:tblHeader/>
        </w:trPr>
        <w:tc>
          <w:tcPr>
            <w:tcW w:w="9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No</w:t>
            </w:r>
          </w:p>
        </w:tc>
        <w:tc>
          <w:tcPr>
            <w:tcW w:w="26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Metode</w:t>
            </w:r>
          </w:p>
        </w:tc>
        <w:tc>
          <w:tcPr>
            <w:tcW w:w="38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Pengujian</w:t>
            </w:r>
          </w:p>
        </w:tc>
        <w:tc>
          <w:tcPr>
            <w:tcW w:w="1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Hasil</w:t>
            </w:r>
          </w:p>
        </w:tc>
      </w:tr>
      <w:tr w:rsidR="00C43078">
        <w:tc>
          <w:tcPr>
            <w:tcW w:w="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1</w:t>
            </w:r>
          </w:p>
        </w:tc>
        <w:tc>
          <w:tcPr>
            <w:tcW w:w="2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Chow Test</w:t>
            </w:r>
          </w:p>
        </w:tc>
        <w:tc>
          <w:tcPr>
            <w:tcW w:w="3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Common Effect vs Fixed Effect</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FEM</w:t>
            </w:r>
          </w:p>
        </w:tc>
      </w:tr>
      <w:tr w:rsidR="00C43078">
        <w:tc>
          <w:tcPr>
            <w:tcW w:w="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2</w:t>
            </w:r>
          </w:p>
        </w:tc>
        <w:tc>
          <w:tcPr>
            <w:tcW w:w="2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Hausman Test</w:t>
            </w:r>
          </w:p>
        </w:tc>
        <w:tc>
          <w:tcPr>
            <w:tcW w:w="3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Random Effect vs Fixed Effect</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REM</w:t>
            </w:r>
          </w:p>
        </w:tc>
      </w:tr>
      <w:tr w:rsidR="00C43078">
        <w:tc>
          <w:tcPr>
            <w:tcW w:w="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3</w:t>
            </w:r>
          </w:p>
        </w:tc>
        <w:tc>
          <w:tcPr>
            <w:tcW w:w="2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Lagrange Multiplier Test</w:t>
            </w:r>
          </w:p>
        </w:tc>
        <w:tc>
          <w:tcPr>
            <w:tcW w:w="38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Random Effect vs Common Effect</w:t>
            </w:r>
          </w:p>
        </w:tc>
        <w:tc>
          <w:tcPr>
            <w:tcW w:w="1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REM</w:t>
            </w:r>
          </w:p>
        </w:tc>
      </w:tr>
    </w:tbl>
    <w:p w:rsidR="00C43078" w:rsidRDefault="005F255C">
      <w:pPr>
        <w:spacing w:after="200"/>
      </w:pPr>
      <w:r>
        <w:rPr>
          <w:i/>
          <w:iCs/>
          <w:sz w:val="18"/>
          <w:szCs w:val="18"/>
        </w:rPr>
        <w:t>Sumber: Data diolah peneliti (2026)</w:t>
      </w:r>
    </w:p>
    <w:p w:rsidR="00C43078" w:rsidRDefault="005F255C">
      <w:pPr>
        <w:ind w:firstLine="576"/>
        <w:jc w:val="both"/>
      </w:pPr>
      <w:r>
        <w:t xml:space="preserve">Hasil pengujian pemilihan model regresi data panel di atas bertujuan untuk memperkuat kesimpulan metode estimasi yang </w:t>
      </w:r>
      <w:proofErr w:type="gramStart"/>
      <w:r>
        <w:t>akan</w:t>
      </w:r>
      <w:proofErr w:type="gramEnd"/>
      <w:r>
        <w:t xml:space="preserve"> digunakan. Berdasarkan hasil tabel di atas, dapat ditarik kesimpulan bahwa model terbaik yang digunakan adalah Random Effect Model (REM) untuk menganalisis data lebih lanjut dalam penelitian ini.</w:t>
      </w:r>
    </w:p>
    <w:p w:rsidR="00C43078" w:rsidRDefault="005F255C">
      <w:pPr>
        <w:spacing w:before="160" w:after="80"/>
      </w:pPr>
      <w:r>
        <w:rPr>
          <w:b/>
          <w:bCs/>
        </w:rPr>
        <w:t>3.3. Model Regresi Data Panel</w:t>
      </w:r>
    </w:p>
    <w:p w:rsidR="00C43078" w:rsidRDefault="005F255C">
      <w:pPr>
        <w:spacing w:before="160" w:after="60"/>
        <w:jc w:val="center"/>
      </w:pPr>
      <w:r>
        <w:rPr>
          <w:b/>
          <w:bCs/>
        </w:rPr>
        <w:t>Tabel 5. Hasil Model Random Effect Model (REM)</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66"/>
        <w:gridCol w:w="1954"/>
        <w:gridCol w:w="1946"/>
        <w:gridCol w:w="1946"/>
        <w:gridCol w:w="1366"/>
      </w:tblGrid>
      <w:tr w:rsidR="00C43078">
        <w:trPr>
          <w:tblHeader/>
        </w:trPr>
        <w:tc>
          <w:tcPr>
            <w:tcW w:w="16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Variabel</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Coefficient</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Std. Error</w:t>
            </w:r>
          </w:p>
        </w:tc>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t-Statistic</w:t>
            </w:r>
          </w:p>
        </w:tc>
        <w:tc>
          <w:tcPr>
            <w:tcW w:w="1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Prob.</w:t>
            </w:r>
          </w:p>
        </w:tc>
      </w:tr>
      <w:tr w:rsidR="00C43078">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C</w:t>
            </w:r>
          </w:p>
        </w:tc>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1.395397</w:t>
            </w:r>
          </w:p>
        </w:tc>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1.020447</w:t>
            </w:r>
          </w:p>
        </w:tc>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1.367437</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0.1774</w:t>
            </w:r>
          </w:p>
        </w:tc>
      </w:tr>
      <w:tr w:rsidR="00C43078">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DER</w:t>
            </w:r>
          </w:p>
        </w:tc>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0.016253</w:t>
            </w:r>
          </w:p>
        </w:tc>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0.013049</w:t>
            </w:r>
          </w:p>
        </w:tc>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1.245466</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0.2185</w:t>
            </w:r>
          </w:p>
        </w:tc>
      </w:tr>
      <w:tr w:rsidR="00C43078">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ROA</w:t>
            </w:r>
          </w:p>
        </w:tc>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0.009950</w:t>
            </w:r>
          </w:p>
        </w:tc>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0.016012</w:t>
            </w:r>
          </w:p>
        </w:tc>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0.621416</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0.5370</w:t>
            </w:r>
          </w:p>
        </w:tc>
      </w:tr>
      <w:tr w:rsidR="00C43078">
        <w:tc>
          <w:tcPr>
            <w:tcW w:w="16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CR</w:t>
            </w:r>
          </w:p>
        </w:tc>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0.007470</w:t>
            </w:r>
          </w:p>
        </w:tc>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0.014430</w:t>
            </w:r>
          </w:p>
        </w:tc>
        <w:tc>
          <w:tcPr>
            <w:tcW w:w="2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0.517667</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0.6069</w:t>
            </w:r>
          </w:p>
        </w:tc>
      </w:tr>
    </w:tbl>
    <w:p w:rsidR="00C43078" w:rsidRDefault="005F255C">
      <w:pPr>
        <w:spacing w:after="200"/>
      </w:pPr>
      <w:r>
        <w:rPr>
          <w:i/>
          <w:iCs/>
          <w:sz w:val="18"/>
          <w:szCs w:val="18"/>
        </w:rPr>
        <w:t>Sumber: Hasil Output Regresi Data Panel EViews 13 (2026). Variabel dependen: PBV; metode Pooled EGLS (cross-section random effects); jumlah observasi panel = 56 (14 perusahaan × 4 tahun); R-squared = 0</w:t>
      </w:r>
      <w:proofErr w:type="gramStart"/>
      <w:r>
        <w:rPr>
          <w:i/>
          <w:iCs/>
          <w:sz w:val="18"/>
          <w:szCs w:val="18"/>
        </w:rPr>
        <w:t>,028757</w:t>
      </w:r>
      <w:proofErr w:type="gramEnd"/>
      <w:r>
        <w:rPr>
          <w:i/>
          <w:iCs/>
          <w:sz w:val="18"/>
          <w:szCs w:val="18"/>
        </w:rPr>
        <w:t>; Adjusted R-squared = -0,027276; F-statistic = 0,513214; Prob(F-statistic) = 0,674967.</w:t>
      </w:r>
    </w:p>
    <w:p w:rsidR="00C43078" w:rsidRDefault="005F255C">
      <w:pPr>
        <w:ind w:firstLine="576"/>
        <w:jc w:val="both"/>
      </w:pPr>
      <w:r>
        <w:t>Dari model REM di atas, nilai konstanta setiap perusahaan berbeda-beda, dengan nilai C sebesar 1,395397, sedangkan nilai koefisien variabel DER sebesar 0,016253, variabel ROA sebesar 0,009950, dan variabel CR sebesar 0,007470. Apabila ditulis dalam bentuk persamaan, setiap perusahaan memiliki persamaan sebagai berikut.</w:t>
      </w:r>
    </w:p>
    <w:p w:rsidR="00C43078" w:rsidRDefault="005F255C">
      <w:pPr>
        <w:spacing w:before="160" w:after="60"/>
        <w:jc w:val="center"/>
      </w:pPr>
      <w:r>
        <w:rPr>
          <w:b/>
          <w:bCs/>
        </w:rPr>
        <w:t>Tabel 6. Nilai Persamaan Setiap Perusahaan</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68"/>
        <w:gridCol w:w="1536"/>
        <w:gridCol w:w="6474"/>
      </w:tblGrid>
      <w:tr w:rsidR="00C43078">
        <w:trPr>
          <w:tblHeader/>
        </w:trPr>
        <w:tc>
          <w:tcPr>
            <w:tcW w:w="7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No</w:t>
            </w:r>
          </w:p>
        </w:tc>
        <w:tc>
          <w:tcPr>
            <w:tcW w:w="1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Kode</w:t>
            </w:r>
          </w:p>
        </w:tc>
        <w:tc>
          <w:tcPr>
            <w:tcW w:w="59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Persamaan</w:t>
            </w:r>
          </w:p>
        </w:tc>
      </w:tr>
      <w:tr w:rsidR="00C4307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1</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ADES</w:t>
            </w:r>
          </w:p>
        </w:tc>
        <w:tc>
          <w:tcPr>
            <w:tcW w:w="5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PBV = 2.6 + 0.016 DER + 0.009 ROA + 0.007 CR + ε</w:t>
            </w:r>
          </w:p>
        </w:tc>
      </w:tr>
      <w:tr w:rsidR="00C4307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2</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FOOD</w:t>
            </w:r>
          </w:p>
        </w:tc>
        <w:tc>
          <w:tcPr>
            <w:tcW w:w="5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PBV = 1.49 + 0.016 DER + 0.009 ROA + 0.007 CR + ε</w:t>
            </w:r>
          </w:p>
        </w:tc>
      </w:tr>
      <w:tr w:rsidR="00C4307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3</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LMPI</w:t>
            </w:r>
          </w:p>
        </w:tc>
        <w:tc>
          <w:tcPr>
            <w:tcW w:w="5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PBV = 0.28 + 0.016 DER + 0.009 ROA + 0.007 CR + ε</w:t>
            </w:r>
          </w:p>
        </w:tc>
      </w:tr>
      <w:tr w:rsidR="00C4307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4</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MERK</w:t>
            </w:r>
          </w:p>
        </w:tc>
        <w:tc>
          <w:tcPr>
            <w:tcW w:w="5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PBV = 1.42 + 0.016 DER + 0.009 ROA + 0.007 CR + ε</w:t>
            </w:r>
          </w:p>
        </w:tc>
      </w:tr>
      <w:tr w:rsidR="00C4307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5</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MRAT</w:t>
            </w:r>
          </w:p>
        </w:tc>
        <w:tc>
          <w:tcPr>
            <w:tcW w:w="5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PBV = -0.5 + 0.016 DER + 0.009 ROA + 0.007 CR + ε</w:t>
            </w:r>
          </w:p>
        </w:tc>
      </w:tr>
      <w:tr w:rsidR="00C4307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6</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MYOR</w:t>
            </w:r>
          </w:p>
        </w:tc>
        <w:tc>
          <w:tcPr>
            <w:tcW w:w="5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PBV = 2.77 + 0.016 DER + 0.009 ROA + 0.007 CR + ε</w:t>
            </w:r>
          </w:p>
        </w:tc>
      </w:tr>
      <w:tr w:rsidR="00C4307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7</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PSDN</w:t>
            </w:r>
          </w:p>
        </w:tc>
        <w:tc>
          <w:tcPr>
            <w:tcW w:w="5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PBV = 1.46 + 0.016 DER + 0.009 ROA + 0.007 CR + ε</w:t>
            </w:r>
          </w:p>
        </w:tc>
      </w:tr>
      <w:tr w:rsidR="00C4307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8</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PYFA</w:t>
            </w:r>
          </w:p>
        </w:tc>
        <w:tc>
          <w:tcPr>
            <w:tcW w:w="5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PBV = 1.5 + 0.016 DER + 0.009 ROA + 0.007 CR + ε</w:t>
            </w:r>
          </w:p>
        </w:tc>
      </w:tr>
      <w:tr w:rsidR="00C4307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9</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SIDO</w:t>
            </w:r>
          </w:p>
        </w:tc>
        <w:tc>
          <w:tcPr>
            <w:tcW w:w="5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PBV = 5.29 + 0.016 DER + 0.009 ROA + 0.007 CR + ε</w:t>
            </w:r>
          </w:p>
        </w:tc>
      </w:tr>
      <w:tr w:rsidR="00C4307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10</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SOHO</w:t>
            </w:r>
          </w:p>
        </w:tc>
        <w:tc>
          <w:tcPr>
            <w:tcW w:w="5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PBV = 1.14 + 0.016 DER + 0.009 ROA + 0.007 CR + ε</w:t>
            </w:r>
          </w:p>
        </w:tc>
      </w:tr>
      <w:tr w:rsidR="00C4307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11</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TCID</w:t>
            </w:r>
          </w:p>
        </w:tc>
        <w:tc>
          <w:tcPr>
            <w:tcW w:w="5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PBV = -0.21 + 0.016 DER + 0.009 ROA + 0.007 CR + ε</w:t>
            </w:r>
          </w:p>
        </w:tc>
      </w:tr>
      <w:tr w:rsidR="00C4307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12</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TSPC</w:t>
            </w:r>
          </w:p>
        </w:tc>
        <w:tc>
          <w:tcPr>
            <w:tcW w:w="5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PBV = 0.14 + 0.016 DER + 0.009 ROA + 0.007 CR + ε</w:t>
            </w:r>
          </w:p>
        </w:tc>
      </w:tr>
      <w:tr w:rsidR="00C4307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13</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ULTJ</w:t>
            </w:r>
          </w:p>
        </w:tc>
        <w:tc>
          <w:tcPr>
            <w:tcW w:w="5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PBV = 1.78 + 0.016 DER + 0.009 ROA + 0.007 CR + ε</w:t>
            </w:r>
          </w:p>
        </w:tc>
      </w:tr>
      <w:tr w:rsidR="00C43078">
        <w:tc>
          <w:tcPr>
            <w:tcW w:w="7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lastRenderedPageBreak/>
              <w:t>14</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WIIM</w:t>
            </w:r>
          </w:p>
        </w:tc>
        <w:tc>
          <w:tcPr>
            <w:tcW w:w="5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PBV = 0.3 + 0.016 DER + 0.009 ROA + 0.007 CR + ε</w:t>
            </w:r>
          </w:p>
        </w:tc>
      </w:tr>
    </w:tbl>
    <w:p w:rsidR="00C43078" w:rsidRDefault="005F255C">
      <w:pPr>
        <w:spacing w:after="200"/>
      </w:pPr>
      <w:r>
        <w:rPr>
          <w:i/>
          <w:iCs/>
          <w:sz w:val="18"/>
          <w:szCs w:val="18"/>
        </w:rPr>
        <w:t>Sumber: Data diolah peneliti (2026)</w:t>
      </w:r>
    </w:p>
    <w:p w:rsidR="00C43078" w:rsidRDefault="005F255C">
      <w:pPr>
        <w:ind w:firstLine="576"/>
        <w:jc w:val="both"/>
      </w:pPr>
      <w:r>
        <w:t>Di antara nilai koefisien konstanta masing-masing perusahaan, PT Industri Jamu dan Farmasi Sido Muncul Tbk (SIDO) memiliki nilai tertinggi, yaitu 5,29, yang menunjukkan bahwa perusahaan tersebut memiliki nilai dasar (baseline) nilai perusahaan yang lebih tinggi dibandingkan perusahaan-perusahaan lain dalam sampel. Sementara itu, PT Mustika Ratu Tbk (MRAT) memiliki nilai terendah, yaitu -0</w:t>
      </w:r>
      <w:proofErr w:type="gramStart"/>
      <w:r>
        <w:t>,5</w:t>
      </w:r>
      <w:proofErr w:type="gramEnd"/>
      <w:r>
        <w:t>, yang menunjukkan nilai dasar nilai perusahaan yang paling rendah di antara perusahaan sampel.</w:t>
      </w:r>
    </w:p>
    <w:p w:rsidR="00C43078" w:rsidRDefault="005F255C">
      <w:pPr>
        <w:spacing w:before="160" w:after="80"/>
      </w:pPr>
      <w:r>
        <w:rPr>
          <w:b/>
          <w:bCs/>
        </w:rPr>
        <w:t>3.4. Uji Hipotesis</w:t>
      </w:r>
    </w:p>
    <w:p w:rsidR="00C43078" w:rsidRDefault="005F255C">
      <w:pPr>
        <w:ind w:firstLine="576"/>
        <w:jc w:val="both"/>
      </w:pPr>
      <w:r>
        <w:t>Uji hipotesis ini menggunakan analisis regresi data panel model Random Effect Model (REM) yang bertujuan untuk menguji sejauh mana pengaruh variabel-variabel independen terhadap variabel dependen, dengan mempertimbangkan beberapa perusahaan dalam beberapa kurun waktu.</w:t>
      </w:r>
    </w:p>
    <w:p w:rsidR="00C43078" w:rsidRDefault="005F255C">
      <w:pPr>
        <w:spacing w:before="160" w:after="80"/>
      </w:pPr>
      <w:r>
        <w:rPr>
          <w:b/>
          <w:bCs/>
        </w:rPr>
        <w:t>3.4.1. Uji Parsial (t)</w:t>
      </w:r>
    </w:p>
    <w:p w:rsidR="00C43078" w:rsidRDefault="005F255C">
      <w:pPr>
        <w:spacing w:before="160" w:after="60"/>
        <w:jc w:val="center"/>
      </w:pPr>
      <w:r>
        <w:rPr>
          <w:b/>
          <w:bCs/>
        </w:rPr>
        <w:t>Tabel 7. Hasil Uji t</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58"/>
        <w:gridCol w:w="1857"/>
        <w:gridCol w:w="1849"/>
        <w:gridCol w:w="1849"/>
        <w:gridCol w:w="1365"/>
      </w:tblGrid>
      <w:tr w:rsidR="00C43078">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Variabel</w:t>
            </w:r>
          </w:p>
        </w:tc>
        <w:tc>
          <w:tcPr>
            <w:tcW w:w="19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Coefficient</w:t>
            </w:r>
          </w:p>
        </w:tc>
        <w:tc>
          <w:tcPr>
            <w:tcW w:w="19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Std. Error</w:t>
            </w:r>
          </w:p>
        </w:tc>
        <w:tc>
          <w:tcPr>
            <w:tcW w:w="19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t-Statistic</w:t>
            </w:r>
          </w:p>
        </w:tc>
        <w:tc>
          <w:tcPr>
            <w:tcW w:w="14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Prob.</w:t>
            </w:r>
          </w:p>
        </w:tc>
      </w:tr>
      <w:tr w:rsidR="00C43078">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C</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-1.549043</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0.856551</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-1.808465</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0.0763</w:t>
            </w:r>
          </w:p>
        </w:tc>
      </w:tr>
      <w:tr w:rsidR="00C43078">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LOG(DER)</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0.252716</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0.177604</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1.422917</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0.1607</w:t>
            </w:r>
          </w:p>
        </w:tc>
      </w:tr>
      <w:tr w:rsidR="00C43078">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LOG(ROA)</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0.077062</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0.080801</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0.953728</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0.3446</w:t>
            </w:r>
          </w:p>
        </w:tc>
      </w:tr>
      <w:tr w:rsidR="00C43078">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LOG(CR)</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0.322768</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0.153041</w:t>
            </w:r>
          </w:p>
        </w:tc>
        <w:tc>
          <w:tcPr>
            <w:tcW w:w="19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2.109034</w:t>
            </w:r>
          </w:p>
        </w:tc>
        <w:tc>
          <w:tcPr>
            <w:tcW w:w="14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0.0398</w:t>
            </w:r>
          </w:p>
        </w:tc>
      </w:tr>
    </w:tbl>
    <w:p w:rsidR="00C43078" w:rsidRDefault="005F255C">
      <w:pPr>
        <w:spacing w:after="200"/>
      </w:pPr>
      <w:r>
        <w:rPr>
          <w:i/>
          <w:iCs/>
          <w:sz w:val="18"/>
          <w:szCs w:val="18"/>
        </w:rPr>
        <w:t>Sumber: Hasil Output Regresi Data Panel EViews 13 (2026). Variabel dependen: Nilai Perusahaan (log-transformasi).</w:t>
      </w:r>
    </w:p>
    <w:p w:rsidR="00C43078" w:rsidRDefault="005F255C">
      <w:pPr>
        <w:spacing w:before="160" w:after="80"/>
      </w:pPr>
      <w:r>
        <w:rPr>
          <w:b/>
          <w:bCs/>
        </w:rPr>
        <w:t>3.4.2. Uji Simultan (F)</w:t>
      </w:r>
    </w:p>
    <w:p w:rsidR="00C43078" w:rsidRDefault="005F255C">
      <w:pPr>
        <w:spacing w:before="160" w:after="60"/>
        <w:jc w:val="center"/>
      </w:pPr>
      <w:r>
        <w:rPr>
          <w:b/>
          <w:bCs/>
        </w:rPr>
        <w:t>Tabel 8. Hasil Uji F</w:t>
      </w:r>
    </w:p>
    <w:tbl>
      <w:tblPr>
        <w:tblW w:w="5000"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73"/>
        <w:gridCol w:w="3905"/>
      </w:tblGrid>
      <w:tr w:rsidR="00C43078">
        <w:trPr>
          <w:tblHeader/>
        </w:trPr>
        <w:tc>
          <w:tcPr>
            <w:tcW w:w="5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Statistik</w:t>
            </w:r>
          </w:p>
        </w:tc>
        <w:tc>
          <w:tcPr>
            <w:tcW w:w="4000" w:type="dxa"/>
            <w:tcBorders>
              <w:top w:val="single" w:sz="4" w:space="0" w:color="000000"/>
              <w:left w:val="single" w:sz="4" w:space="0" w:color="000000"/>
              <w:bottom w:val="single" w:sz="4" w:space="0" w:color="000000"/>
              <w:right w:val="single" w:sz="4" w:space="0" w:color="000000"/>
            </w:tcBorders>
            <w:shd w:val="clear" w:color="auto" w:fill="D9D9D9"/>
            <w:tcMar>
              <w:top w:w="60" w:type="dxa"/>
              <w:left w:w="100" w:type="dxa"/>
              <w:bottom w:w="60" w:type="dxa"/>
              <w:right w:w="100" w:type="dxa"/>
            </w:tcMar>
            <w:vAlign w:val="center"/>
          </w:tcPr>
          <w:p w:rsidR="00C43078" w:rsidRDefault="005F255C">
            <w:pPr>
              <w:jc w:val="center"/>
            </w:pPr>
            <w:r>
              <w:rPr>
                <w:b/>
                <w:bCs/>
                <w:sz w:val="18"/>
                <w:szCs w:val="18"/>
              </w:rPr>
              <w:t>Nilai</w:t>
            </w:r>
          </w:p>
        </w:tc>
      </w:tr>
      <w:tr w:rsidR="00C43078">
        <w:tc>
          <w:tcPr>
            <w:tcW w:w="5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R-squared</w:t>
            </w:r>
          </w:p>
        </w:tc>
        <w:tc>
          <w:tcPr>
            <w:tcW w:w="4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0.105159</w:t>
            </w:r>
          </w:p>
        </w:tc>
      </w:tr>
      <w:tr w:rsidR="00C43078">
        <w:tc>
          <w:tcPr>
            <w:tcW w:w="5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Adjusted R-squared</w:t>
            </w:r>
          </w:p>
        </w:tc>
        <w:tc>
          <w:tcPr>
            <w:tcW w:w="4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0.053533</w:t>
            </w:r>
          </w:p>
        </w:tc>
      </w:tr>
      <w:tr w:rsidR="00C43078">
        <w:tc>
          <w:tcPr>
            <w:tcW w:w="5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F-statistic</w:t>
            </w:r>
          </w:p>
        </w:tc>
        <w:tc>
          <w:tcPr>
            <w:tcW w:w="4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2.036955</w:t>
            </w:r>
          </w:p>
        </w:tc>
      </w:tr>
      <w:tr w:rsidR="00C43078">
        <w:tc>
          <w:tcPr>
            <w:tcW w:w="5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r>
              <w:rPr>
                <w:sz w:val="18"/>
                <w:szCs w:val="18"/>
              </w:rPr>
              <w:t>Prob(F-statistic)</w:t>
            </w:r>
          </w:p>
        </w:tc>
        <w:tc>
          <w:tcPr>
            <w:tcW w:w="4000" w:type="dxa"/>
            <w:tcBorders>
              <w:top w:val="single" w:sz="4" w:space="0" w:color="000000"/>
              <w:left w:val="single" w:sz="4" w:space="0" w:color="000000"/>
              <w:bottom w:val="single" w:sz="4" w:space="0" w:color="000000"/>
              <w:right w:val="single" w:sz="4" w:space="0" w:color="000000"/>
            </w:tcBorders>
            <w:tcMar>
              <w:top w:w="60" w:type="dxa"/>
              <w:left w:w="100" w:type="dxa"/>
              <w:bottom w:w="60" w:type="dxa"/>
              <w:right w:w="100" w:type="dxa"/>
            </w:tcMar>
            <w:vAlign w:val="center"/>
          </w:tcPr>
          <w:p w:rsidR="00C43078" w:rsidRDefault="005F255C">
            <w:pPr>
              <w:jc w:val="center"/>
            </w:pPr>
            <w:r>
              <w:rPr>
                <w:sz w:val="18"/>
                <w:szCs w:val="18"/>
              </w:rPr>
              <w:t>0.120062</w:t>
            </w:r>
          </w:p>
        </w:tc>
      </w:tr>
    </w:tbl>
    <w:p w:rsidR="00C43078" w:rsidRDefault="005F255C">
      <w:pPr>
        <w:spacing w:after="200"/>
      </w:pPr>
      <w:r>
        <w:rPr>
          <w:i/>
          <w:iCs/>
          <w:sz w:val="18"/>
          <w:szCs w:val="18"/>
        </w:rPr>
        <w:t>Sumber: Hasil Output Regresi Data Panel EViews 13 (2026)</w:t>
      </w:r>
    </w:p>
    <w:p w:rsidR="00C43078" w:rsidRDefault="005F255C">
      <w:pPr>
        <w:ind w:firstLine="576"/>
        <w:jc w:val="both"/>
      </w:pPr>
      <w:r>
        <w:t>Berdasarkan hasil output EViews pada tabel di atas, nilai F-hitung sebesar 2,036955, sementara F-tabel pada tingkat α = 5% (0</w:t>
      </w:r>
      <w:proofErr w:type="gramStart"/>
      <w:r>
        <w:t>,05</w:t>
      </w:r>
      <w:proofErr w:type="gramEnd"/>
      <w:r>
        <w:t>) adalah 3,172. Dengan demikian, F-hitung &lt; F-tabel (2</w:t>
      </w:r>
      <w:proofErr w:type="gramStart"/>
      <w:r>
        <w:t>,036955</w:t>
      </w:r>
      <w:proofErr w:type="gramEnd"/>
      <w:r>
        <w:t xml:space="preserve"> &lt; 3,172). Nilai probabilitas (Prob) sebesar 0,120062 lebih besar dari tingkat signifikansi 0</w:t>
      </w:r>
      <w:proofErr w:type="gramStart"/>
      <w:r>
        <w:t>,05</w:t>
      </w:r>
      <w:proofErr w:type="gramEnd"/>
      <w:r>
        <w:t>, sehingga H₄ ditolak dan H₀ diterima. Hal ini berarti bahwa variabel DER, ROA, dan CR secara simultan tidak memiliki pengaruh yang signifikan terhadap nilai perusahaan.</w:t>
      </w:r>
    </w:p>
    <w:p w:rsidR="00C43078" w:rsidRDefault="00F8657B">
      <w:pPr>
        <w:spacing w:before="200" w:after="100"/>
      </w:pPr>
      <w:r>
        <w:rPr>
          <w:b/>
          <w:bCs/>
        </w:rPr>
        <w:t>Pembahasan</w:t>
      </w:r>
    </w:p>
    <w:p w:rsidR="00C43078" w:rsidRDefault="005F255C">
      <w:pPr>
        <w:spacing w:before="160" w:after="80"/>
      </w:pPr>
      <w:r>
        <w:rPr>
          <w:b/>
          <w:bCs/>
        </w:rPr>
        <w:t>3.5. Pengaruh Struktur Modal terhadap Nilai Perusahaan</w:t>
      </w:r>
    </w:p>
    <w:p w:rsidR="00C43078" w:rsidRDefault="005F255C">
      <w:pPr>
        <w:ind w:firstLine="576"/>
        <w:jc w:val="both"/>
      </w:pPr>
      <w:r>
        <w:t>Hasil penelitian ini menunjukkan bahwa variabel struktur modal yang diukur dengan Debt to Equity Ratio (DER) tidak berpengaruh positif dan signifikan terhadap nilai perusahaan. Hal ini dapat dilihat dari nilai probabilitas variabel DER sebesar 0</w:t>
      </w:r>
      <w:proofErr w:type="gramStart"/>
      <w:r>
        <w:t>,1607</w:t>
      </w:r>
      <w:proofErr w:type="gramEnd"/>
      <w:r>
        <w:t xml:space="preserve"> &gt; 0,05. Selain itu, dapat dilihat dari hasil perbandingan antara t-hitung dan t-tabel yang menunjukkan t-hitung sebesar 1,422917 &lt; 2</w:t>
      </w:r>
      <w:proofErr w:type="gramStart"/>
      <w:r>
        <w:t>,00575</w:t>
      </w:r>
      <w:proofErr w:type="gramEnd"/>
      <w:r>
        <w:t xml:space="preserve"> (t-tabel). Maka dapat disimpulkan bahwa H₀ diterima dan H₁ ditolak, yang artinya secara parsial variabel struktur modal yang diukur dengan DER tidak berpengaruh terhadap nilai perusahaan.</w:t>
      </w:r>
    </w:p>
    <w:p w:rsidR="00C43078" w:rsidRDefault="005F255C">
      <w:pPr>
        <w:ind w:firstLine="576"/>
        <w:jc w:val="both"/>
      </w:pPr>
      <w:r>
        <w:t xml:space="preserve">Temuan ini didukung oleh hasil penelitian Meira dan Watiningsih yang menyatakan bahwa DER tidak berpengaruh terhadap nilai perusahaan. Penelitian tersebut menunjukkan bahwa saat nilai DER meningkat, nilai perusahaan justru cenderung mengalami penurunan. Perusahaan yang lebih banyak menggunakan utang untuk pendanaan cenderung mengalami penurunan nilai perusahaan, karena besarnya penggunaan utang tidak selalu berpengaruh terhadap harga saham dan nilai perusahaan [9]. Sebaliknya, penelitian ini bertentangan </w:t>
      </w:r>
      <w:r>
        <w:lastRenderedPageBreak/>
        <w:t>dengan penelitian Limesta dan Wibowo yang menemukan bahwa DER berpengaruh positif dan signifikan terhadap nilai perusahaan [10].</w:t>
      </w:r>
    </w:p>
    <w:p w:rsidR="00C43078" w:rsidRDefault="005F255C">
      <w:pPr>
        <w:spacing w:before="160" w:after="80"/>
      </w:pPr>
      <w:r>
        <w:rPr>
          <w:b/>
          <w:bCs/>
        </w:rPr>
        <w:t>3.6. Pengaruh Profitabilitas terhadap Nilai Perusahaan</w:t>
      </w:r>
    </w:p>
    <w:p w:rsidR="00C43078" w:rsidRDefault="005F255C">
      <w:pPr>
        <w:ind w:firstLine="576"/>
        <w:jc w:val="both"/>
      </w:pPr>
      <w:r>
        <w:t>Hasil penelitian ini menunjukkan bahwa variabel profitabilitas yang diukur dengan Return on Asset (ROA) tidak berpengaruh positif dan signifikan terhadap nilai perusahaan. Hal ini dapat dilihat dari nilai probabilitas variabel ROA sebesar 0</w:t>
      </w:r>
      <w:proofErr w:type="gramStart"/>
      <w:r>
        <w:t>,3446</w:t>
      </w:r>
      <w:proofErr w:type="gramEnd"/>
      <w:r>
        <w:t xml:space="preserve"> &gt; 0,05. Selain itu, dapat dilihat dari hasil perbandingan antara t-hitung dan t-tabel yang menunjukkan t-hitung sebesar 0,953728 &lt; 2</w:t>
      </w:r>
      <w:proofErr w:type="gramStart"/>
      <w:r>
        <w:t>,00575</w:t>
      </w:r>
      <w:proofErr w:type="gramEnd"/>
      <w:r>
        <w:t xml:space="preserve"> (t-tabel). Maka dapat disimpulkan bahwa H₀ diterima dan H₁ ditolak, yang artinya secara parsial variabel profitabilitas yang diukur dengan ROA tidak berpengaruh terhadap nilai perusahaan.</w:t>
      </w:r>
    </w:p>
    <w:p w:rsidR="00C43078" w:rsidRDefault="005F255C">
      <w:pPr>
        <w:ind w:firstLine="576"/>
        <w:jc w:val="both"/>
      </w:pPr>
      <w:r>
        <w:t>Temuan ini didukung oleh hasil penelitian Fadilah dan Rahmat yang menyatakan bahwa ROA tidak berpengaruh terhadap nilai perusahaan, karena perusahaan belum menjalankan operasionalnya secara efektif dan efisien, serta kemungkinan lebih menempatkan modal pada aset yang tidak produktif sehingga perputaran asetnya tidak lancar [11]. Sebaliknya, penelitian ini bertentangan dengan penelitian Sofian dan Siregar yang menemukan bahwa ROA berpengaruh positif dan signifikan terhadap nilai perusahaan [12].</w:t>
      </w:r>
    </w:p>
    <w:p w:rsidR="00C43078" w:rsidRDefault="005F255C">
      <w:pPr>
        <w:spacing w:before="160" w:after="80"/>
      </w:pPr>
      <w:r>
        <w:rPr>
          <w:b/>
          <w:bCs/>
        </w:rPr>
        <w:t>3.7. Pengaruh Likuiditas terhadap Nilai Perusahaan</w:t>
      </w:r>
    </w:p>
    <w:p w:rsidR="00C43078" w:rsidRDefault="005F255C">
      <w:pPr>
        <w:ind w:firstLine="576"/>
        <w:jc w:val="both"/>
      </w:pPr>
      <w:r>
        <w:t>Hasil penelitian ini menunjukkan bahwa variabel likuiditas yang diukur dengan Current Ratio (CR) berpengaruh positif dan signifikan terhadap nilai perusahaan. Hal ini dapat dilihat dari nilai probabilitas variabel CR sebesar 0</w:t>
      </w:r>
      <w:proofErr w:type="gramStart"/>
      <w:r>
        <w:t>,0398</w:t>
      </w:r>
      <w:proofErr w:type="gramEnd"/>
      <w:r>
        <w:t xml:space="preserve"> &lt; 0,05. Selain itu, dapat dilihat dari hasil perbandingan antara t-hitung dan t-tabel yang menunjukkan t-hitung sebesar 2,109034 &gt; 2</w:t>
      </w:r>
      <w:proofErr w:type="gramStart"/>
      <w:r>
        <w:t>,00575</w:t>
      </w:r>
      <w:proofErr w:type="gramEnd"/>
      <w:r>
        <w:t xml:space="preserve"> (t-tabel). Maka dapat disimpulkan bahwa H₀ ditolak dan H₁ diterima, yang artinya secara parsial variabel likuiditas yang diukur dengan CR berpengaruh terhadap nilai perusahaan.</w:t>
      </w:r>
    </w:p>
    <w:p w:rsidR="00C43078" w:rsidRDefault="005F255C">
      <w:pPr>
        <w:ind w:firstLine="576"/>
        <w:jc w:val="both"/>
      </w:pPr>
      <w:r>
        <w:t xml:space="preserve">Temuan ini didukung oleh hasil penelitian Uli, Ichwanudin, dan Suryani yang menunjukkan bahwa setiap kenaikan likuiditas pada perusahaan makanan dan minuman </w:t>
      </w:r>
      <w:proofErr w:type="gramStart"/>
      <w:r>
        <w:t>akan</w:t>
      </w:r>
      <w:proofErr w:type="gramEnd"/>
      <w:r>
        <w:t xml:space="preserve"> diikuti dengan kenaikan nilai perusahaan. Perusahaan dengan likuiditas yang tinggi menandakan kesanggupan membayar utang lancarnya secara tepat waktu dengan aktiva lancar yang dimiliki, tanpa mengganggu aktivitas operasional perusahaan [13]. Sebaliknya, penelitian ini bertentangan dengan penelitian Apriliana dan Martini yang menyatakan bahwa CR tidak berpengaruh terhadap nilai perusahaan [14].</w:t>
      </w:r>
    </w:p>
    <w:p w:rsidR="00C43078" w:rsidRDefault="005F255C">
      <w:pPr>
        <w:spacing w:before="160" w:after="80"/>
      </w:pPr>
      <w:r>
        <w:rPr>
          <w:b/>
          <w:bCs/>
        </w:rPr>
        <w:t>3.8. Struktur Modal, Profitabilitas, dan Likuiditas Ditinjau dari Perspektif Syariah</w:t>
      </w:r>
    </w:p>
    <w:p w:rsidR="00C43078" w:rsidRDefault="005F255C">
      <w:pPr>
        <w:spacing w:before="160" w:after="80"/>
      </w:pPr>
      <w:r>
        <w:rPr>
          <w:b/>
          <w:bCs/>
        </w:rPr>
        <w:t>3.8.1. Struktur Modal dalam Perspektif Syariah</w:t>
      </w:r>
    </w:p>
    <w:p w:rsidR="00C43078" w:rsidRDefault="005F255C">
      <w:pPr>
        <w:ind w:firstLine="576"/>
        <w:jc w:val="both"/>
      </w:pPr>
      <w:r>
        <w:t>Struktur modal yang sesuai dengan prinsip-prinsip Islam menempatkan urutan sumber pendanaan perusahaan dimulai dari yang paling disukai, yaitu pendanaan internal (internal financing) berupa laba ditahan, kemudian secara berangsur menuju pendanaan eksternal (external financing) berupa utang jangka panjang; apabila urutan tersebut tidak dapat dipenuhi, pendanaan paling akhir dilakukan dengan menerbitkan saham. Sumber-sumber pendanaan yang murni mengikuti prinsip-prinsip Islam terbagi menjadi dua kelompok besar, yaitu instrumen berbasis prinsip bagi hasil (profit and loss sharing) seperti musyarakah (partnership) dan mudharabah, serta instrumen berbasis jual beli (sale-based instrument) seperti murabahah (cost-plus or mark-up sale) dan bai’ [15].</w:t>
      </w:r>
    </w:p>
    <w:p w:rsidR="00C43078" w:rsidRDefault="005F255C">
      <w:pPr>
        <w:spacing w:before="160" w:after="80"/>
      </w:pPr>
      <w:r>
        <w:rPr>
          <w:b/>
          <w:bCs/>
        </w:rPr>
        <w:t>3.8.2. Profitabilitas dalam Perspektif Syariah</w:t>
      </w:r>
    </w:p>
    <w:p w:rsidR="00C43078" w:rsidRDefault="005F255C">
      <w:pPr>
        <w:ind w:firstLine="576"/>
        <w:jc w:val="both"/>
      </w:pPr>
      <w:r>
        <w:t>Profitabilitas secara umum menunjukkan kemampuan suatu perusahaan dalam menghasilkan laba dari aset dan modal yang dikelola. Namun dalam perspektif syariah, laba bukan hanya sekadar angka kinerja keuangan, tetapi harus diperoleh melalui aktivitas usaha yang halal, adil, dan bertanggung jawab secara sosial. Islam membolehkan kegiatan bisnis dan keuntungan, tetapi tetap menekankan bahwa sumber keuntungan harus bersih dari unsur riba (bunga), gharar (ketidakjelasan), dan maisir (spekulasi).</w:t>
      </w:r>
    </w:p>
    <w:p w:rsidR="00C43078" w:rsidRDefault="005F255C">
      <w:pPr>
        <w:spacing w:before="160" w:after="80"/>
      </w:pPr>
      <w:r>
        <w:rPr>
          <w:b/>
          <w:bCs/>
        </w:rPr>
        <w:t>3.8.3. Likuiditas dalam Perspektif Syariah</w:t>
      </w:r>
    </w:p>
    <w:p w:rsidR="00C43078" w:rsidRDefault="005F255C">
      <w:pPr>
        <w:ind w:firstLine="576"/>
        <w:jc w:val="both"/>
      </w:pPr>
      <w:r>
        <w:t>Likuiditas dalam perspektif syariah merupakan kemampuan perusahaan atau lembaga keuangan untuk memenuhi kewajiban jangka pendeknya secara tepat waktu dengan tetap berlandaskan prinsip-prinsip Islam. Berutang merupakan kenyataan yang melanda hampir semua perusahaan di Indonesia; setiap perusahaan tidak pernah terlepas dari utang, baik utang jangka panjang maupun jangka pendek. Terdapat hadis yang berhubungan dengan persoalan utang, sebagaimana diriwayatkan berikut.</w:t>
      </w:r>
    </w:p>
    <w:p w:rsidR="00C43078" w:rsidRDefault="005F255C">
      <w:pPr>
        <w:ind w:left="576" w:right="576"/>
        <w:jc w:val="both"/>
      </w:pPr>
      <w:r>
        <w:rPr>
          <w:i/>
          <w:iCs/>
        </w:rPr>
        <w:t xml:space="preserve">“Dari Abu Hurairah, dari Nabi </w:t>
      </w:r>
      <w:proofErr w:type="gramStart"/>
      <w:r>
        <w:rPr>
          <w:i/>
          <w:iCs/>
        </w:rPr>
        <w:t>saw.,</w:t>
      </w:r>
      <w:proofErr w:type="gramEnd"/>
      <w:r>
        <w:rPr>
          <w:i/>
          <w:iCs/>
        </w:rPr>
        <w:t xml:space="preserve"> beliau bersabda: ‘Barang siapa yang mengambil harta seseorang (berutang) dengan maksud untuk membayarnya, maka Allah akan melaksanakan pembayaran itu untuknya. Dan barang siapa yang mengambilnya dengan maksud untuk merusak (tidak mau membayar dengan sengaja), maka Allah akan merusak (membinasakan) orang itu.’” (HR. Bukhari)</w:t>
      </w:r>
    </w:p>
    <w:p w:rsidR="00C43078" w:rsidRDefault="005F255C">
      <w:pPr>
        <w:spacing w:before="160" w:after="80"/>
      </w:pPr>
      <w:r>
        <w:rPr>
          <w:b/>
          <w:bCs/>
        </w:rPr>
        <w:lastRenderedPageBreak/>
        <w:t>3.8.4. Nilai Perusahaan dalam Perspektif Syariah</w:t>
      </w:r>
    </w:p>
    <w:p w:rsidR="00C43078" w:rsidRDefault="005F255C">
      <w:pPr>
        <w:ind w:firstLine="576"/>
        <w:jc w:val="both"/>
      </w:pPr>
      <w:r>
        <w:t>Nilai perusahaan dalam perspektif syariah sangat dipengaruhi oleh kepatuhan terhadap prinsip-prinsip dasar Islam, seperti larangan riba, gharar, dan maisir. Perusahaan syariah tidak diperkenankan menjalankan kegiatan usaha yang mengandung bunga, spekulasi berlebihan, ataupun ketidakjelasan dalam transaksi. Selain itu, jenis usaha yang dijalankan juga harus halal dan tidak bertentangan dengan nilai-nilai Islam. Kepatuhan terhadap prinsip-prinsip tersebut menjadi faktor penting dalam menentukan tinggi rendahnya nilai perusahaan menurut pandangan syariah, meskipun secara finansial perusahaan tersebut mungkin menunjukkan kinerja yang baik.</w:t>
      </w:r>
    </w:p>
    <w:p w:rsidR="00C43078" w:rsidRDefault="005F255C" w:rsidP="00F8657B">
      <w:pPr>
        <w:spacing w:before="200" w:after="100"/>
      </w:pPr>
      <w:r>
        <w:rPr>
          <w:b/>
          <w:bCs/>
        </w:rPr>
        <w:t xml:space="preserve">4. </w:t>
      </w:r>
      <w:r w:rsidR="00F8657B">
        <w:rPr>
          <w:b/>
          <w:bCs/>
        </w:rPr>
        <w:t>KESIMPULAN</w:t>
      </w:r>
      <w:bookmarkStart w:id="0" w:name="_GoBack"/>
      <w:bookmarkEnd w:id="0"/>
    </w:p>
    <w:p w:rsidR="00C43078" w:rsidRDefault="005F255C">
      <w:pPr>
        <w:ind w:firstLine="576"/>
        <w:jc w:val="both"/>
      </w:pPr>
      <w:r>
        <w:t>Berdasarkan hasil penelitian ini, nilai perusahaan pada perusahaan manufaktur sektor industri barang konsumsi yang terdaftar di Bursa Efek Indonesia dipengaruhi oleh kondisi keuangan perusahaan, khususnya dalam pengelolaan likuiditas. Kemampuan perusahaan dalam memenuhi kewajiban jangka pendek memberikan sinyal positif kepada investor mengenai stabilitas dan kesehatan keuangan perusahaan, sehingga mampu meningkatkan kepercayaan pasar terhadap perusahaan. Kondisi tersebut berdampak pada meningkatnya nilai perusahaan karena investor memandang perusahaan memiliki kemampuan yang baik dalam menjaga keberlangsungan operasional dan menghadapi risiko keuangan.</w:t>
      </w:r>
    </w:p>
    <w:p w:rsidR="00C43078" w:rsidRDefault="005F255C">
      <w:pPr>
        <w:ind w:firstLine="576"/>
        <w:jc w:val="both"/>
      </w:pPr>
      <w:r>
        <w:t>Struktur modal secara parsial tidak berpengaruh positif dan tidak signifikan terhadap nilai perusahaan, karena penggunaan struktur modal yang berasal dari utang belum mampu meningkatkan nilai perusahaan secara optimal. Hal ini menunjukkan bahwa tingginya penggunaan utang belum tentu dipersepsikan positif oleh investor, terutama apabila utang tersebut belum digunakan secara efektif untuk menghasilkan pertumbuhan perusahaan. Profitabilitas secara parsial juga tidak berpengaruh positif dan tidak signifikan terhadap nilai perusahaan. Kondisi ekonomi yang tidak stabil pada masa pascapandemi menyebabkan investor tidak hanya berfokus pada kemampuan perusahaan menghasilkan laba, tetapi juga memperhatikan kemampuan perusahaan menjaga kestabilan keuangannya.</w:t>
      </w:r>
    </w:p>
    <w:p w:rsidR="00C43078" w:rsidRDefault="005F255C">
      <w:pPr>
        <w:ind w:firstLine="576"/>
        <w:jc w:val="both"/>
      </w:pPr>
      <w:r>
        <w:t>Berbeda dengan struktur modal dan profitabilitas, likuiditas secara parsial berpengaruh positif dan signifikan terhadap nilai perusahaan. Kemampuan perusahaan dalam memenuhi kewajiban jangka pendek memberikan sinyal positif kepada investor mengenai kondisi keuangan perusahaan yang sehat dan stabil. Perusahaan dengan tingkat likuiditas yang baik cenderung lebih dipercaya oleh pasar karena dianggap mampu menjaga kelangsungan operasional dan menghadapi ketidakpastian ekonomi. Dalam perspektif syariah, kemampuan perusahaan memenuhi kewajibannya juga mencerminkan sikap amanah dan tanggung jawab dalam menjalankan aktivitas usaha.</w:t>
      </w:r>
    </w:p>
    <w:p w:rsidR="00C43078" w:rsidRDefault="005F255C">
      <w:pPr>
        <w:ind w:firstLine="576"/>
        <w:jc w:val="both"/>
      </w:pPr>
      <w:r>
        <w:t>Secara keseluruhan, penelitian ini menggambarkan bahwa pengelolaan keuangan perusahaan yang seimbang sangat penting dalam meningkatkan nilai perusahaan. Dalam perspektif syariah, pengelolaan struktur modal, profitabilitas, dan likuiditas tidak hanya bertujuan memperoleh keuntungan, tetapi juga harus dilakukan berdasarkan prinsip kehati-hatian, keadilan, transparansi, dan menghindari unsur riba serta spekulasi yang berlebihan. Dengan penerapan prinsip-prinsip tersebut, perusahaan diharapkan mampu menciptakan nilai perusahaan yang berkelanjutan sekaligus memberikan manfaat yang lebih luas bagi seluruh pemangku kepentingan.</w:t>
      </w:r>
    </w:p>
    <w:p w:rsidR="00C43078" w:rsidRDefault="005F255C">
      <w:pPr>
        <w:ind w:firstLine="576"/>
        <w:jc w:val="both"/>
      </w:pPr>
      <w:r>
        <w:t xml:space="preserve">Penelitian ini memiliki keterbatasan pada jumlah variabel yang dikaji (struktur modal, profitabilitas, dan likuiditas), periode penelitian yang relatif singkat (2020–2023), serta jumlah sampel yang terbatas pada 14 perusahaan. Penelitian selanjutnya disarankan untuk menambah variabel lain yang relevan (seperti ukuran perusahaan, kebijakan dividen, </w:t>
      </w:r>
      <w:proofErr w:type="gramStart"/>
      <w:r>
        <w:t>atau</w:t>
      </w:r>
      <w:proofErr w:type="gramEnd"/>
      <w:r>
        <w:t xml:space="preserve"> tingkat kepatuhan syariah/Islamic governance secara terukur), memperpanjang periode pengamatan, serta memperluas cakupan sektor guna memperoleh gambaran yang lebih komprehensif.</w:t>
      </w:r>
    </w:p>
    <w:p w:rsidR="00C43078" w:rsidRDefault="005F255C">
      <w:pPr>
        <w:spacing w:before="200" w:after="100"/>
      </w:pPr>
      <w:r>
        <w:rPr>
          <w:b/>
          <w:bCs/>
        </w:rPr>
        <w:t>REFERENCES</w:t>
      </w:r>
    </w:p>
    <w:p w:rsidR="00C43078" w:rsidRDefault="005F255C">
      <w:pPr>
        <w:spacing w:after="100"/>
      </w:pPr>
      <w:r>
        <w:rPr>
          <w:sz w:val="16"/>
          <w:szCs w:val="16"/>
        </w:rPr>
        <w:t>[1] B. Ilahi, Q. N. Jannah, and L. L. Arifin, "Struktur Modal Dalam Perusahaan," Muhasabatuna: Jurnal Akuntansi dan Keuangan Islam, vol. 3, no. 2, p. 10, 2021.</w:t>
      </w:r>
    </w:p>
    <w:p w:rsidR="00C43078" w:rsidRDefault="005F255C">
      <w:pPr>
        <w:spacing w:after="100"/>
      </w:pPr>
      <w:r>
        <w:rPr>
          <w:sz w:val="16"/>
          <w:szCs w:val="16"/>
        </w:rPr>
        <w:t>[2] L. Suwita, F. Kurnia, and E. Faulia, "Analisis Struktur Modal Untuk Meningkatkan Profitabilitas pada PT. Indofood Sukses Makmur Tbk," Menara Ekonom, vol. 9, no. 1, p. 23, 2023.</w:t>
      </w:r>
    </w:p>
    <w:p w:rsidR="00C43078" w:rsidRDefault="005F255C">
      <w:pPr>
        <w:spacing w:after="100"/>
      </w:pPr>
      <w:r>
        <w:rPr>
          <w:sz w:val="16"/>
          <w:szCs w:val="16"/>
        </w:rPr>
        <w:t>[3] C. D. Mogi, A. Poputra, and S. W. Alexander, "Analisis Laporan Arus Kas Sebagai Dasar Pengukuran Likuiditas Pada Perusahaan 'Unicare' Cabang Manado," Going Concern: Jurnal Riset Akuntansi, vol. 11, no. 1, 2016, doi: 10.32400/gc.11.1.10560.2016.</w:t>
      </w:r>
    </w:p>
    <w:p w:rsidR="00C43078" w:rsidRDefault="005F255C">
      <w:pPr>
        <w:spacing w:after="100"/>
      </w:pPr>
      <w:r>
        <w:rPr>
          <w:sz w:val="16"/>
          <w:szCs w:val="16"/>
        </w:rPr>
        <w:t>[4] O. Boen and T. Sudirgo, "Pengaruh Profitabilitas, Likuiditas Dan Struktur Modal Terhadap Nilai Perusahaan Tahun 2017-2019," Jurnal Multiparadigma Akuntansi, vol. 5, no. 1, p. 321, 2023.</w:t>
      </w:r>
    </w:p>
    <w:p w:rsidR="00C43078" w:rsidRDefault="005F255C">
      <w:pPr>
        <w:spacing w:after="100"/>
      </w:pPr>
      <w:r>
        <w:rPr>
          <w:sz w:val="16"/>
          <w:szCs w:val="16"/>
        </w:rPr>
        <w:t>[5] C. Wirawan, I. W. Widnyana, and I. M. Sukadana, "Pengaruh Struktur Modal, Likuiditas Dan Profitabilitas Terhadap Nilai Perusahaan Pada Sub Sektor Makanan Dan Minuman Di Bursa Efek Indonesia," vol. 4, no. 8, pp. 2006–2017, 2023.</w:t>
      </w:r>
    </w:p>
    <w:p w:rsidR="00C43078" w:rsidRDefault="005F255C">
      <w:pPr>
        <w:spacing w:after="100"/>
      </w:pPr>
      <w:r>
        <w:rPr>
          <w:sz w:val="16"/>
          <w:szCs w:val="16"/>
        </w:rPr>
        <w:t>[6] N. Hadi and J. Budiman, "Pengaruh Profitabilitas, Likuiditas, dan Struktur Modal Terhadap Nilai Perusahaan Melalui Kebijakan Dividen," Widya Cipta: Jurnal Sekretari dan Manajemen, vol. 7, no. 2, pp. 160–168, 2023, doi: 10.31294/widyacipta.v7i2.16213.</w:t>
      </w:r>
    </w:p>
    <w:p w:rsidR="00C43078" w:rsidRDefault="005F255C">
      <w:pPr>
        <w:spacing w:after="100"/>
      </w:pPr>
      <w:r>
        <w:rPr>
          <w:sz w:val="16"/>
          <w:szCs w:val="16"/>
        </w:rPr>
        <w:lastRenderedPageBreak/>
        <w:t>[7] N. Suriani, Risnita, and M. S. Jailani, "Konsep Populasi dan Sampling Serta Pemilihan Partisipan Ditinjau Dari Penelitian Ilmiah Pendidikan," Jurnal IHSAN: Jurnal Pendidikan Islam, vol. 1, no. 2, pp. 26–27, 2023, doi: 10.61104/ihsan.v1i2.55.</w:t>
      </w:r>
    </w:p>
    <w:p w:rsidR="00C43078" w:rsidRDefault="005F255C">
      <w:pPr>
        <w:spacing w:after="100"/>
      </w:pPr>
      <w:r>
        <w:rPr>
          <w:sz w:val="16"/>
          <w:szCs w:val="16"/>
        </w:rPr>
        <w:t>[8] N. F. Amin, S. Garancang, and K. Abunawas, "Konsep Umum Populasi Dan Sampel Dalam Penelitian," JURNAL PILAR: Jurnal Kajian Islam Kontemporer, vol. 14, no. 1, p. 20, 2023.</w:t>
      </w:r>
    </w:p>
    <w:p w:rsidR="00C43078" w:rsidRDefault="005F255C">
      <w:pPr>
        <w:spacing w:after="100"/>
      </w:pPr>
      <w:r>
        <w:rPr>
          <w:sz w:val="16"/>
          <w:szCs w:val="16"/>
        </w:rPr>
        <w:t>[9] E. R. Meira and F. Watiningsih, "Pengaruh Return on Equity dan Debt to Equity Ratio terhadap Nilai Perusahaan pada PT Fajar Surya Wisesa Tbk Periode," Jurnal Ekonomi, Manajemen dan Bisnis, vol. 1, no. 2, 2024.</w:t>
      </w:r>
    </w:p>
    <w:p w:rsidR="00C43078" w:rsidRDefault="005F255C">
      <w:pPr>
        <w:spacing w:after="100"/>
      </w:pPr>
      <w:r>
        <w:rPr>
          <w:sz w:val="16"/>
          <w:szCs w:val="16"/>
        </w:rPr>
        <w:t>[10] F. Y. Z. Limesta and D. Wibowo, "Pengaruh Return On Asset Dan Debt To Equity Ratio Terhadap Nilai Perusahaan Bank Syariah Sebelum Merger (Studi Kasus PT Bank BRI Syariah, Tbk Pada Bulan Januari-November 2020)," Jurnal Ilmiah M-Progress, vol. 11, no. 2, p. 162, 2021.</w:t>
      </w:r>
    </w:p>
    <w:p w:rsidR="00C43078" w:rsidRDefault="005F255C">
      <w:pPr>
        <w:spacing w:after="100"/>
      </w:pPr>
      <w:r>
        <w:rPr>
          <w:sz w:val="16"/>
          <w:szCs w:val="16"/>
        </w:rPr>
        <w:t>[11] D. V. Fadilah and K. Rahmat, "Pengaruh Return On Asset (ROA) Dan Ukuran Perusahaan Terhadap Nilai Perusahaan Sektor Teknologi Yang Terdaftar Di Bursa Efek Indonesia Periode 2021–2023," Jurnal Pendidikan Tambusai, vol. 9, no. 2, p. 12546, 2025.</w:t>
      </w:r>
    </w:p>
    <w:p w:rsidR="00C43078" w:rsidRDefault="005F255C">
      <w:pPr>
        <w:spacing w:after="100"/>
      </w:pPr>
      <w:r>
        <w:rPr>
          <w:sz w:val="16"/>
          <w:szCs w:val="16"/>
        </w:rPr>
        <w:t>[12] L. Sofian and E. M. Siregar, "Analisis Pengaruh ROA, CR Dan DAR Terhadap Nilai Perusahaan Sektor Makanan Dan Minuman," Jurnal Ilmiah Akuntansi Kesatuan, vol. 1, no. 10, p. 15, 2022.</w:t>
      </w:r>
    </w:p>
    <w:p w:rsidR="00C43078" w:rsidRDefault="005F255C">
      <w:pPr>
        <w:spacing w:after="100"/>
      </w:pPr>
      <w:r>
        <w:rPr>
          <w:sz w:val="16"/>
          <w:szCs w:val="16"/>
        </w:rPr>
        <w:t>[13] R. Uli, W. Ichwanudin, and E. Suryani, "Pengaruh Likuiditas Terhadap Nilai Perusahaan Melalui Struktur Modal Dan Profitabilitas," Tirtayasa Ekonomika, vol. 15, no. 2, p. 328, 2020, doi: 10.35448/jte.v15i2.6795.</w:t>
      </w:r>
    </w:p>
    <w:p w:rsidR="00C43078" w:rsidRDefault="005F255C">
      <w:pPr>
        <w:spacing w:after="100"/>
      </w:pPr>
      <w:r>
        <w:rPr>
          <w:sz w:val="16"/>
          <w:szCs w:val="16"/>
        </w:rPr>
        <w:t xml:space="preserve">[14] Apriliana and Martini, "Pengaruh Current Ratio, Return on Asset, Debt to Equity, Dan Kepemilikan Institusional Terhadap Nilai Perusahaan," Ecodig: Economics </w:t>
      </w:r>
      <w:proofErr w:type="gramStart"/>
      <w:r>
        <w:rPr>
          <w:sz w:val="16"/>
          <w:szCs w:val="16"/>
        </w:rPr>
        <w:t>And</w:t>
      </w:r>
      <w:proofErr w:type="gramEnd"/>
      <w:r>
        <w:rPr>
          <w:sz w:val="16"/>
          <w:szCs w:val="16"/>
        </w:rPr>
        <w:t xml:space="preserve"> Digital Business Journal, vol. 1, no. 1, p. 11, 2024.</w:t>
      </w:r>
    </w:p>
    <w:p w:rsidR="00C43078" w:rsidRDefault="005F255C">
      <w:pPr>
        <w:spacing w:after="100"/>
      </w:pPr>
      <w:r>
        <w:rPr>
          <w:sz w:val="16"/>
          <w:szCs w:val="16"/>
        </w:rPr>
        <w:t>[15] M. Faisal, "Analisis Pengaruh Struktur Modal Perusahaan Dalam Perspektif Islam Pada Perbankan Syariah Yang Terdaftar Di Bursa Efek Indonesia Periode 2017-2021," Skripsi, Universitas Islam Indonesia, Yogyakarta, 2022.</w:t>
      </w:r>
    </w:p>
    <w:sectPr w:rsidR="00C43078">
      <w:headerReference w:type="default" r:id="rId9"/>
      <w:footerReference w:type="default" r:id="rId10"/>
      <w:headerReference w:type="first" r:id="rId11"/>
      <w:footerReference w:type="first" r:id="rId12"/>
      <w:pgSz w:w="11907" w:h="16840"/>
      <w:pgMar w:top="1418" w:right="1418" w:bottom="1418"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719" w:rsidRDefault="00A40719">
      <w:r>
        <w:separator/>
      </w:r>
    </w:p>
  </w:endnote>
  <w:endnote w:type="continuationSeparator" w:id="0">
    <w:p w:rsidR="00A40719" w:rsidRDefault="00A40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078" w:rsidRDefault="005F255C" w:rsidP="00F8657B">
    <w:pPr>
      <w:pBdr>
        <w:top w:val="single" w:sz="4" w:space="0" w:color="000000"/>
      </w:pBdr>
      <w:spacing w:before="60"/>
    </w:pPr>
    <w:r>
      <w:rPr>
        <w:i/>
        <w:iCs/>
        <w:sz w:val="16"/>
        <w:szCs w:val="16"/>
      </w:rPr>
      <w:t>TANJAK;</w:t>
    </w:r>
    <w:r w:rsidR="00F8657B">
      <w:rPr>
        <w:i/>
        <w:iCs/>
        <w:sz w:val="16"/>
        <w:szCs w:val="16"/>
      </w:rPr>
      <w:t xml:space="preserve"> Jurnal Tinjauan Syariah, Vol. 1, No. 2</w:t>
    </w:r>
    <w:r>
      <w:rPr>
        <w:i/>
        <w:iCs/>
        <w:sz w:val="16"/>
        <w:szCs w:val="16"/>
      </w:rPr>
      <w:t xml:space="preserve">, </w:t>
    </w:r>
    <w:r w:rsidR="00F8657B">
      <w:rPr>
        <w:i/>
        <w:iCs/>
        <w:sz w:val="16"/>
        <w:szCs w:val="16"/>
      </w:rPr>
      <w:t>Juni 2026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078" w:rsidRDefault="005F255C" w:rsidP="00F8657B">
    <w:pPr>
      <w:pBdr>
        <w:top w:val="single" w:sz="4" w:space="0" w:color="000000"/>
      </w:pBdr>
      <w:spacing w:before="60"/>
    </w:pPr>
    <w:r>
      <w:rPr>
        <w:i/>
        <w:iCs/>
        <w:sz w:val="16"/>
        <w:szCs w:val="16"/>
      </w:rPr>
      <w:t>TANJAK;</w:t>
    </w:r>
    <w:r w:rsidR="00F8657B">
      <w:rPr>
        <w:i/>
        <w:iCs/>
        <w:sz w:val="16"/>
        <w:szCs w:val="16"/>
      </w:rPr>
      <w:t xml:space="preserve"> Jurnal Tinjauan Syariah, Vol. 1, No. 2</w:t>
    </w:r>
    <w:r>
      <w:rPr>
        <w:i/>
        <w:iCs/>
        <w:sz w:val="16"/>
        <w:szCs w:val="16"/>
      </w:rPr>
      <w:t xml:space="preserve">, </w:t>
    </w:r>
    <w:r w:rsidR="00F8657B">
      <w:rPr>
        <w:i/>
        <w:iCs/>
        <w:sz w:val="16"/>
        <w:szCs w:val="16"/>
      </w:rPr>
      <w:t>Juni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719" w:rsidRDefault="00A40719">
      <w:r>
        <w:separator/>
      </w:r>
    </w:p>
  </w:footnote>
  <w:footnote w:type="continuationSeparator" w:id="0">
    <w:p w:rsidR="00A40719" w:rsidRDefault="00A407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91"/>
      <w:gridCol w:w="2197"/>
    </w:tblGrid>
    <w:tr w:rsidR="00C43078">
      <w:tc>
        <w:tcPr>
          <w:tcW w:w="3750" w:type="pct"/>
          <w:tcBorders>
            <w:top w:val="none" w:sz="0" w:space="0" w:color="FFFFFF"/>
            <w:left w:val="none" w:sz="0" w:space="0" w:color="FFFFFF"/>
            <w:bottom w:val="single" w:sz="4" w:space="0" w:color="000000"/>
            <w:right w:val="none" w:sz="0" w:space="0" w:color="FFFFFF"/>
          </w:tcBorders>
        </w:tcPr>
        <w:p w:rsidR="00F8657B" w:rsidRDefault="00F8657B" w:rsidP="00F8657B">
          <w:r>
            <w:rPr>
              <w:b/>
              <w:bCs/>
              <w:sz w:val="18"/>
              <w:szCs w:val="18"/>
            </w:rPr>
            <w:t>TANJAK; Jurnal Tinjauan Syariah</w:t>
          </w:r>
        </w:p>
        <w:p w:rsidR="00F8657B" w:rsidRDefault="00F8657B" w:rsidP="00F8657B">
          <w:r>
            <w:rPr>
              <w:sz w:val="18"/>
              <w:szCs w:val="18"/>
            </w:rPr>
            <w:t>Vol. 1, No. 2, Juni 2026</w:t>
          </w:r>
        </w:p>
        <w:p w:rsidR="00C43078" w:rsidRDefault="00F8657B" w:rsidP="00F8657B">
          <w:r>
            <w:rPr>
              <w:sz w:val="18"/>
              <w:szCs w:val="18"/>
            </w:rPr>
            <w:t>ISSN: xxxx-xxxx, DOI: 10.xxxxx/tanjak.vxix.paperID</w:t>
          </w:r>
        </w:p>
      </w:tc>
      <w:tc>
        <w:tcPr>
          <w:tcW w:w="1250" w:type="pct"/>
          <w:tcBorders>
            <w:top w:val="none" w:sz="0" w:space="0" w:color="FFFFFF"/>
            <w:left w:val="none" w:sz="0" w:space="0" w:color="FFFFFF"/>
            <w:bottom w:val="single" w:sz="4" w:space="0" w:color="000000"/>
            <w:right w:val="none" w:sz="0" w:space="0" w:color="FFFFFF"/>
          </w:tcBorders>
          <w:vAlign w:val="bottom"/>
        </w:tcPr>
        <w:p w:rsidR="00C43078" w:rsidRDefault="005F255C">
          <w:pPr>
            <w:jc w:val="right"/>
          </w:pPr>
          <w:r>
            <w:rPr>
              <w:sz w:val="18"/>
              <w:szCs w:val="18"/>
            </w:rPr>
            <w:fldChar w:fldCharType="begin"/>
          </w:r>
          <w:r>
            <w:rPr>
              <w:sz w:val="18"/>
              <w:szCs w:val="18"/>
            </w:rPr>
            <w:instrText>PAGE</w:instrText>
          </w:r>
          <w:r>
            <w:rPr>
              <w:sz w:val="18"/>
              <w:szCs w:val="18"/>
            </w:rPr>
            <w:fldChar w:fldCharType="separate"/>
          </w:r>
          <w:r w:rsidR="00F8657B">
            <w:rPr>
              <w:noProof/>
              <w:sz w:val="18"/>
              <w:szCs w:val="18"/>
            </w:rPr>
            <w:t>2</w:t>
          </w:r>
          <w:r>
            <w:rPr>
              <w:sz w:val="18"/>
              <w:szCs w:val="18"/>
            </w:rPr>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91"/>
      <w:gridCol w:w="2197"/>
    </w:tblGrid>
    <w:tr w:rsidR="00C43078">
      <w:tc>
        <w:tcPr>
          <w:tcW w:w="3750" w:type="pct"/>
          <w:tcBorders>
            <w:top w:val="none" w:sz="0" w:space="0" w:color="FFFFFF"/>
            <w:left w:val="none" w:sz="0" w:space="0" w:color="FFFFFF"/>
            <w:bottom w:val="single" w:sz="4" w:space="0" w:color="000000"/>
            <w:right w:val="none" w:sz="0" w:space="0" w:color="FFFFFF"/>
          </w:tcBorders>
        </w:tcPr>
        <w:p w:rsidR="00C43078" w:rsidRDefault="005F255C">
          <w:r>
            <w:rPr>
              <w:b/>
              <w:bCs/>
              <w:sz w:val="18"/>
              <w:szCs w:val="18"/>
            </w:rPr>
            <w:t>TANJAK; Jurnal Tinjauan Syariah</w:t>
          </w:r>
        </w:p>
        <w:p w:rsidR="00C43078" w:rsidRDefault="00F8657B" w:rsidP="00F8657B">
          <w:r>
            <w:rPr>
              <w:sz w:val="18"/>
              <w:szCs w:val="18"/>
            </w:rPr>
            <w:t>Vol. 1, No. 2</w:t>
          </w:r>
          <w:r w:rsidR="005F255C">
            <w:rPr>
              <w:sz w:val="18"/>
              <w:szCs w:val="18"/>
            </w:rPr>
            <w:t xml:space="preserve">, </w:t>
          </w:r>
          <w:r>
            <w:rPr>
              <w:sz w:val="18"/>
              <w:szCs w:val="18"/>
            </w:rPr>
            <w:t>Juni 2026</w:t>
          </w:r>
        </w:p>
        <w:p w:rsidR="00C43078" w:rsidRDefault="005F255C">
          <w:r>
            <w:rPr>
              <w:sz w:val="18"/>
              <w:szCs w:val="18"/>
            </w:rPr>
            <w:t>ISSN: xxxx-xxxx, DOI: 10.xxxxx/tanjak.vxix.paperID</w:t>
          </w:r>
        </w:p>
      </w:tc>
      <w:tc>
        <w:tcPr>
          <w:tcW w:w="1250" w:type="pct"/>
          <w:tcBorders>
            <w:top w:val="none" w:sz="0" w:space="0" w:color="FFFFFF"/>
            <w:left w:val="none" w:sz="0" w:space="0" w:color="FFFFFF"/>
            <w:bottom w:val="single" w:sz="4" w:space="0" w:color="000000"/>
            <w:right w:val="none" w:sz="0" w:space="0" w:color="FFFFFF"/>
          </w:tcBorders>
          <w:vAlign w:val="bottom"/>
        </w:tcPr>
        <w:p w:rsidR="00C43078" w:rsidRDefault="005F255C">
          <w:pPr>
            <w:jc w:val="right"/>
          </w:pPr>
          <w:r>
            <w:rPr>
              <w:sz w:val="18"/>
              <w:szCs w:val="18"/>
            </w:rPr>
            <w:fldChar w:fldCharType="begin"/>
          </w:r>
          <w:r>
            <w:rPr>
              <w:sz w:val="18"/>
              <w:szCs w:val="18"/>
            </w:rPr>
            <w:instrText>PAGE</w:instrText>
          </w:r>
          <w:r>
            <w:rPr>
              <w:sz w:val="18"/>
              <w:szCs w:val="18"/>
            </w:rPr>
            <w:fldChar w:fldCharType="separate"/>
          </w:r>
          <w:r w:rsidR="00F8657B">
            <w:rPr>
              <w:noProof/>
              <w:sz w:val="18"/>
              <w:szCs w:val="18"/>
            </w:rPr>
            <w:t>1</w:t>
          </w:r>
          <w:r>
            <w:rPr>
              <w:sz w:val="18"/>
              <w:szCs w:val="18"/>
            </w:rPr>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D03066"/>
    <w:multiLevelType w:val="hybridMultilevel"/>
    <w:tmpl w:val="D9EE3C4C"/>
    <w:lvl w:ilvl="0" w:tplc="B9EAF530">
      <w:start w:val="1"/>
      <w:numFmt w:val="bullet"/>
      <w:lvlText w:val="●"/>
      <w:lvlJc w:val="left"/>
      <w:pPr>
        <w:ind w:left="720" w:hanging="360"/>
      </w:pPr>
    </w:lvl>
    <w:lvl w:ilvl="1" w:tplc="E42AC700">
      <w:start w:val="1"/>
      <w:numFmt w:val="bullet"/>
      <w:lvlText w:val="○"/>
      <w:lvlJc w:val="left"/>
      <w:pPr>
        <w:ind w:left="1440" w:hanging="360"/>
      </w:pPr>
    </w:lvl>
    <w:lvl w:ilvl="2" w:tplc="D9D8B944">
      <w:start w:val="1"/>
      <w:numFmt w:val="bullet"/>
      <w:lvlText w:val="■"/>
      <w:lvlJc w:val="left"/>
      <w:pPr>
        <w:ind w:left="2160" w:hanging="360"/>
      </w:pPr>
    </w:lvl>
    <w:lvl w:ilvl="3" w:tplc="0E0C6838">
      <w:start w:val="1"/>
      <w:numFmt w:val="bullet"/>
      <w:lvlText w:val="●"/>
      <w:lvlJc w:val="left"/>
      <w:pPr>
        <w:ind w:left="2880" w:hanging="360"/>
      </w:pPr>
    </w:lvl>
    <w:lvl w:ilvl="4" w:tplc="8FA2E5B6">
      <w:start w:val="1"/>
      <w:numFmt w:val="bullet"/>
      <w:lvlText w:val="○"/>
      <w:lvlJc w:val="left"/>
      <w:pPr>
        <w:ind w:left="3600" w:hanging="360"/>
      </w:pPr>
    </w:lvl>
    <w:lvl w:ilvl="5" w:tplc="24A893CA">
      <w:start w:val="1"/>
      <w:numFmt w:val="bullet"/>
      <w:lvlText w:val="■"/>
      <w:lvlJc w:val="left"/>
      <w:pPr>
        <w:ind w:left="4320" w:hanging="360"/>
      </w:pPr>
    </w:lvl>
    <w:lvl w:ilvl="6" w:tplc="51E08D2C">
      <w:start w:val="1"/>
      <w:numFmt w:val="bullet"/>
      <w:lvlText w:val="●"/>
      <w:lvlJc w:val="left"/>
      <w:pPr>
        <w:ind w:left="5040" w:hanging="360"/>
      </w:pPr>
    </w:lvl>
    <w:lvl w:ilvl="7" w:tplc="53E840D4">
      <w:start w:val="1"/>
      <w:numFmt w:val="bullet"/>
      <w:lvlText w:val="●"/>
      <w:lvlJc w:val="left"/>
      <w:pPr>
        <w:ind w:left="5760" w:hanging="360"/>
      </w:pPr>
    </w:lvl>
    <w:lvl w:ilvl="8" w:tplc="66BA707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078"/>
    <w:rsid w:val="005B1B63"/>
    <w:rsid w:val="005F255C"/>
    <w:rsid w:val="00A40719"/>
    <w:rsid w:val="00C43078"/>
    <w:rsid w:val="00F865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184134-E41C-4828-871D-C5739D512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8657B"/>
    <w:pPr>
      <w:tabs>
        <w:tab w:val="center" w:pos="4680"/>
        <w:tab w:val="right" w:pos="9360"/>
      </w:tabs>
    </w:pPr>
  </w:style>
  <w:style w:type="character" w:customStyle="1" w:styleId="HeaderChar">
    <w:name w:val="Header Char"/>
    <w:basedOn w:val="DefaultParagraphFont"/>
    <w:link w:val="Header"/>
    <w:uiPriority w:val="99"/>
    <w:rsid w:val="00F8657B"/>
  </w:style>
  <w:style w:type="paragraph" w:styleId="Footer">
    <w:name w:val="footer"/>
    <w:basedOn w:val="Normal"/>
    <w:link w:val="FooterChar"/>
    <w:uiPriority w:val="99"/>
    <w:unhideWhenUsed/>
    <w:rsid w:val="00F8657B"/>
    <w:pPr>
      <w:tabs>
        <w:tab w:val="center" w:pos="4680"/>
        <w:tab w:val="right" w:pos="9360"/>
      </w:tabs>
    </w:pPr>
  </w:style>
  <w:style w:type="character" w:customStyle="1" w:styleId="FooterChar">
    <w:name w:val="Footer Char"/>
    <w:basedOn w:val="DefaultParagraphFont"/>
    <w:link w:val="Footer"/>
    <w:uiPriority w:val="99"/>
    <w:rsid w:val="00F86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undefined"/><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undefined"/><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4868</Words>
  <Characters>27749</Characters>
  <Application>Microsoft Office Word</Application>
  <DocSecurity>0</DocSecurity>
  <Lines>231</Lines>
  <Paragraphs>65</Paragraphs>
  <ScaleCrop>false</ScaleCrop>
  <Company/>
  <LinksUpToDate>false</LinksUpToDate>
  <CharactersWithSpaces>32552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account</cp:lastModifiedBy>
  <cp:revision>2</cp:revision>
  <dcterms:created xsi:type="dcterms:W3CDTF">2026-09-09T06:59:00Z</dcterms:created>
  <dcterms:modified xsi:type="dcterms:W3CDTF">2026-09-09T14:28:00Z</dcterms:modified>
</cp:coreProperties>
</file>