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044" w:rsidRDefault="00005866">
      <w:pPr>
        <w:spacing w:after="200"/>
        <w:jc w:val="center"/>
      </w:pPr>
      <w:r>
        <w:rPr>
          <w:b/>
          <w:bCs/>
          <w:sz w:val="32"/>
          <w:szCs w:val="32"/>
        </w:rPr>
        <w:t>Penerapan Akuntansi Deposito Mudharabah pada PT Bank Syariah Indonesia (BSI) Bengkalis</w:t>
      </w:r>
    </w:p>
    <w:p w:rsidR="005A3044" w:rsidRDefault="00005866">
      <w:pPr>
        <w:spacing w:after="40"/>
        <w:jc w:val="center"/>
      </w:pPr>
      <w:r>
        <w:rPr>
          <w:b/>
          <w:bCs/>
        </w:rPr>
        <w:t>Anis Safia</w:t>
      </w:r>
      <w:r>
        <w:rPr>
          <w:b/>
          <w:bCs/>
          <w:vertAlign w:val="superscript"/>
        </w:rPr>
        <w:t>1</w:t>
      </w:r>
    </w:p>
    <w:p w:rsidR="005A3044" w:rsidRDefault="00005866">
      <w:pPr>
        <w:spacing w:after="240"/>
        <w:jc w:val="center"/>
      </w:pPr>
      <w:r>
        <w:rPr>
          <w:sz w:val="16"/>
          <w:szCs w:val="16"/>
          <w:vertAlign w:val="superscript"/>
        </w:rPr>
        <w:t>1</w:t>
      </w:r>
      <w:r>
        <w:rPr>
          <w:i/>
          <w:iCs/>
          <w:sz w:val="16"/>
          <w:szCs w:val="16"/>
        </w:rPr>
        <w:t>Program Studi Akuntansi Syariah, Fakultas Syariah dan Ekonomi Islam, IAIN Datuk Laksamana Bengkalis, Indonesia</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3"/>
        <w:gridCol w:w="5925"/>
      </w:tblGrid>
      <w:tr w:rsidR="005A3044">
        <w:tblPrEx>
          <w:tblCellMar>
            <w:top w:w="0" w:type="dxa"/>
            <w:bottom w:w="0" w:type="dxa"/>
          </w:tblCellMar>
        </w:tblPrEx>
        <w:tc>
          <w:tcPr>
            <w:tcW w:w="3200" w:type="dxa"/>
            <w:tcBorders>
              <w:top w:val="single" w:sz="4" w:space="0" w:color="000000"/>
              <w:left w:val="none" w:sz="0" w:space="0" w:color="FFFFFF"/>
              <w:bottom w:val="none" w:sz="0" w:space="0" w:color="FFFFFF"/>
              <w:right w:val="none" w:sz="0" w:space="0" w:color="FFFFFF"/>
            </w:tcBorders>
          </w:tcPr>
          <w:p w:rsidR="005A3044" w:rsidRDefault="00005866">
            <w:pPr>
              <w:jc w:val="both"/>
            </w:pPr>
            <w:r>
              <w:rPr>
                <w:b/>
                <w:bCs/>
              </w:rPr>
              <w:t>Article Info</w:t>
            </w:r>
          </w:p>
        </w:tc>
        <w:tc>
          <w:tcPr>
            <w:tcW w:w="6700" w:type="dxa"/>
            <w:tcBorders>
              <w:top w:val="single" w:sz="4" w:space="0" w:color="000000"/>
              <w:left w:val="none" w:sz="0" w:space="0" w:color="FFFFFF"/>
              <w:bottom w:val="none" w:sz="0" w:space="0" w:color="FFFFFF"/>
              <w:right w:val="none" w:sz="0" w:space="0" w:color="FFFFFF"/>
            </w:tcBorders>
          </w:tcPr>
          <w:p w:rsidR="005A3044" w:rsidRDefault="00005866">
            <w:pPr>
              <w:jc w:val="both"/>
            </w:pPr>
            <w:r>
              <w:rPr>
                <w:b/>
                <w:bCs/>
                <w:sz w:val="18"/>
                <w:szCs w:val="18"/>
              </w:rPr>
              <w:t>ABSTRAK</w:t>
            </w:r>
          </w:p>
        </w:tc>
      </w:tr>
      <w:tr w:rsidR="005A3044">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Pr>
          <w:p w:rsidR="005A3044" w:rsidRDefault="00005866">
            <w:pPr>
              <w:spacing w:after="60"/>
              <w:jc w:val="both"/>
            </w:pPr>
            <w:r>
              <w:rPr>
                <w:b/>
                <w:bCs/>
                <w:i/>
                <w:iCs/>
                <w:sz w:val="18"/>
                <w:szCs w:val="18"/>
              </w:rPr>
              <w:t>Article history:</w:t>
            </w:r>
          </w:p>
          <w:p w:rsidR="005A3044" w:rsidRDefault="00005866">
            <w:pPr>
              <w:jc w:val="both"/>
            </w:pPr>
            <w:r>
              <w:rPr>
                <w:sz w:val="18"/>
                <w:szCs w:val="18"/>
              </w:rPr>
              <w:t>Received mm dd, yyyy</w:t>
            </w:r>
          </w:p>
          <w:p w:rsidR="005A3044" w:rsidRDefault="00005866">
            <w:pPr>
              <w:jc w:val="both"/>
            </w:pPr>
            <w:r>
              <w:rPr>
                <w:sz w:val="18"/>
                <w:szCs w:val="18"/>
              </w:rPr>
              <w:t>Revised mm dd, yyyy</w:t>
            </w:r>
          </w:p>
          <w:p w:rsidR="005A3044" w:rsidRDefault="00005866">
            <w:pPr>
              <w:spacing w:after="200"/>
              <w:jc w:val="both"/>
            </w:pPr>
            <w:r>
              <w:rPr>
                <w:sz w:val="18"/>
                <w:szCs w:val="18"/>
              </w:rPr>
              <w:t>Accepted mm dd, yyyy</w:t>
            </w:r>
          </w:p>
          <w:p w:rsidR="005A3044" w:rsidRDefault="00005866">
            <w:pPr>
              <w:spacing w:after="60"/>
              <w:jc w:val="both"/>
            </w:pPr>
            <w:r>
              <w:rPr>
                <w:b/>
                <w:bCs/>
                <w:i/>
                <w:iCs/>
                <w:sz w:val="18"/>
                <w:szCs w:val="18"/>
              </w:rPr>
              <w:t>Kata Kunci:</w:t>
            </w:r>
          </w:p>
          <w:p w:rsidR="005A3044" w:rsidRDefault="00005866">
            <w:pPr>
              <w:jc w:val="both"/>
            </w:pPr>
            <w:r>
              <w:rPr>
                <w:sz w:val="18"/>
                <w:szCs w:val="18"/>
              </w:rPr>
              <w:t>Deposito Mudharabah</w:t>
            </w:r>
          </w:p>
          <w:p w:rsidR="005A3044" w:rsidRDefault="00005866">
            <w:pPr>
              <w:jc w:val="both"/>
            </w:pPr>
            <w:r>
              <w:rPr>
                <w:sz w:val="18"/>
                <w:szCs w:val="18"/>
              </w:rPr>
              <w:t>PSAK No. 105</w:t>
            </w:r>
          </w:p>
          <w:p w:rsidR="005A3044" w:rsidRDefault="00005866">
            <w:pPr>
              <w:jc w:val="both"/>
            </w:pPr>
            <w:r>
              <w:rPr>
                <w:sz w:val="18"/>
                <w:szCs w:val="18"/>
              </w:rPr>
              <w:t>Akuntansi Syariah</w:t>
            </w:r>
          </w:p>
          <w:p w:rsidR="005A3044" w:rsidRDefault="00005866">
            <w:pPr>
              <w:jc w:val="both"/>
            </w:pPr>
            <w:r>
              <w:rPr>
                <w:sz w:val="18"/>
                <w:szCs w:val="18"/>
              </w:rPr>
              <w:t>Dana Syirkah Temporer</w:t>
            </w:r>
          </w:p>
        </w:tc>
        <w:tc>
          <w:tcPr>
            <w:tcW w:w="6700" w:type="dxa"/>
            <w:tcBorders>
              <w:top w:val="none" w:sz="0" w:space="0" w:color="FFFFFF"/>
              <w:left w:val="none" w:sz="0" w:space="0" w:color="FFFFFF"/>
              <w:bottom w:val="none" w:sz="0" w:space="0" w:color="FFFFFF"/>
              <w:right w:val="none" w:sz="0" w:space="0" w:color="FFFFFF"/>
            </w:tcBorders>
          </w:tcPr>
          <w:p w:rsidR="005A3044" w:rsidRDefault="00005866">
            <w:pPr>
              <w:spacing w:after="120"/>
              <w:jc w:val="both"/>
            </w:pPr>
            <w:r>
              <w:rPr>
                <w:sz w:val="18"/>
                <w:szCs w:val="18"/>
              </w:rPr>
              <w:t>Penelitian ini dilatarbelakangi oleh penerapan akuntansi deposito mudharabah pada PT Bank Syariah Indonesia (BSI) Bengkalis yang menggunakan akad mudharabah dalam pengelolaan dana nasabah. Penerapan akuntansi pada produk deposito mudharabah harus disesuaik</w:t>
            </w:r>
            <w:r>
              <w:rPr>
                <w:sz w:val="18"/>
                <w:szCs w:val="18"/>
              </w:rPr>
              <w:t>an dengan prinsip syariah dan ketentuan PSAK No. 105 agar proses pencatatan, pengakuan, pengukuran, serta pelaporan keuangan dapat dilakukan secara tepat dan transparan. Jenis penelitian yang digunakan adalah penelitian lapangan (field research) dengan pen</w:t>
            </w:r>
            <w:r>
              <w:rPr>
                <w:sz w:val="18"/>
                <w:szCs w:val="18"/>
              </w:rPr>
              <w:t>dekatan kualitatif, dilaksanakan di PT Bank Syariah Indonesia (BSI) Bengkalis. Subjek penelitian adalah pegawai bagian pembiayaan dan akuntansi yang terlibat langsung dalam penerapan akuntansi deposito mudharabah, sedangkan objek penelitian adalah penerapa</w:t>
            </w:r>
            <w:r>
              <w:rPr>
                <w:sz w:val="18"/>
                <w:szCs w:val="18"/>
              </w:rPr>
              <w:t>n akuntansi deposito mudharabah pada bank tersebut. Teknik pengumpulan data dilakukan melalui wawancara dan dokumentasi, sedangkan teknik analisis data menggunakan metode deskriptif kualitatif dengan mendeskripsikan kondisi di lapangan dan membandingkannya</w:t>
            </w:r>
            <w:r>
              <w:rPr>
                <w:sz w:val="18"/>
                <w:szCs w:val="18"/>
              </w:rPr>
              <w:t xml:space="preserve"> dengan teori serta ketentuan PSAK No. 105. Hasil penelitian menunjukkan bahwa penerapan akuntansi deposito mudharabah pada PT Bank Syariah Indonesia (BSI) Bengkalis secara umum telah mengacu pada PSAK No. 105, terutama dalam pengakuan deposito mudharabah </w:t>
            </w:r>
            <w:r>
              <w:rPr>
                <w:sz w:val="18"/>
                <w:szCs w:val="18"/>
              </w:rPr>
              <w:t>sebagai dana syirkah temporer dan penggunaan sistem pencatatan berbasis komputerisasi. Namun demikian, masih ditemukan ketidaksesuaian dalam praktik perhitungan dan pembagian nisbah bagi hasil, sehingga diperlukan peningkatan penerapan standar akuntansi sy</w:t>
            </w:r>
            <w:r>
              <w:rPr>
                <w:sz w:val="18"/>
                <w:szCs w:val="18"/>
              </w:rPr>
              <w:t>ariah agar pelaksanaan akuntansi deposito mudharabah dapat berjalan lebih optimal.</w:t>
            </w:r>
          </w:p>
          <w:p w:rsidR="005A3044" w:rsidRDefault="00005866">
            <w:pPr>
              <w:spacing w:after="60"/>
              <w:jc w:val="both"/>
            </w:pPr>
            <w:r>
              <w:rPr>
                <w:b/>
                <w:bCs/>
                <w:sz w:val="18"/>
                <w:szCs w:val="18"/>
              </w:rPr>
              <w:t>ABSTRACT</w:t>
            </w:r>
          </w:p>
          <w:p w:rsidR="005A3044" w:rsidRDefault="00005866">
            <w:pPr>
              <w:spacing w:after="120"/>
              <w:jc w:val="both"/>
            </w:pPr>
            <w:r>
              <w:rPr>
                <w:i/>
                <w:iCs/>
                <w:sz w:val="18"/>
                <w:szCs w:val="18"/>
              </w:rPr>
              <w:t>This study is motivated by the implementation of mudharabah deposit accounting at PT Bank Syariah Indonesia (BSI) Bengkalis, which applies the mudharabah contract i</w:t>
            </w:r>
            <w:r>
              <w:rPr>
                <w:i/>
                <w:iCs/>
                <w:sz w:val="18"/>
                <w:szCs w:val="18"/>
              </w:rPr>
              <w:t>n managing customers’ funds. The accounting treatment of mudharabah deposits must comply with Islamic principles and the provisions of PSAK No. 105 to ensure that recognition, measurement, recording, and financial reporting are carried out accurately and t</w:t>
            </w:r>
            <w:r>
              <w:rPr>
                <w:i/>
                <w:iCs/>
                <w:sz w:val="18"/>
                <w:szCs w:val="18"/>
              </w:rPr>
              <w:t>ransparently. This study employed a qualitative field research approach. The research subjects consisted of employees in the financing and accounting divisions directly involved in the implementation of mudharabah deposit accounting, while the research obj</w:t>
            </w:r>
            <w:r>
              <w:rPr>
                <w:i/>
                <w:iCs/>
                <w:sz w:val="18"/>
                <w:szCs w:val="18"/>
              </w:rPr>
              <w:t>ect was the implementation of mudharabah deposit accounting at the bank. Data were collected through interviews and documentation, then analyzed using a descriptive qualitative method by comparing field findings with the relevant theories and the provision</w:t>
            </w:r>
            <w:r>
              <w:rPr>
                <w:i/>
                <w:iCs/>
                <w:sz w:val="18"/>
                <w:szCs w:val="18"/>
              </w:rPr>
              <w:t>s of PSAK No. 105. The results indicate that the implementation of mudharabah deposit accounting at PT Bank Syariah Indonesia (BSI) Bengkalis generally complies with PSAK No. 105, particularly in recognizing mudharabah deposits as temporary syirkah funds a</w:t>
            </w:r>
            <w:r>
              <w:rPr>
                <w:i/>
                <w:iCs/>
                <w:sz w:val="18"/>
                <w:szCs w:val="18"/>
              </w:rPr>
              <w:t>nd applying a computerized accounting system. However, inconsistencies were identified in the calculation and distribution of profit-sharing ratios (nisbah), so improvements in the implementation of Islamic accounting standards are necessary.</w:t>
            </w:r>
          </w:p>
          <w:p w:rsidR="005A3044" w:rsidRDefault="00005866">
            <w:pPr>
              <w:spacing w:after="120"/>
              <w:jc w:val="both"/>
            </w:pPr>
            <w:r>
              <w:rPr>
                <w:b/>
                <w:bCs/>
                <w:i/>
                <w:iCs/>
                <w:sz w:val="18"/>
                <w:szCs w:val="18"/>
              </w:rPr>
              <w:t xml:space="preserve">Keywords: </w:t>
            </w:r>
            <w:r>
              <w:rPr>
                <w:i/>
                <w:iCs/>
                <w:sz w:val="18"/>
                <w:szCs w:val="18"/>
              </w:rPr>
              <w:t>Mudharabah Deposit; PSAK No. 105; Islamic Accounting; Temporary Syirkah Funds.</w:t>
            </w:r>
          </w:p>
        </w:tc>
      </w:tr>
      <w:tr w:rsidR="005A3044">
        <w:tblPrEx>
          <w:tblCellMar>
            <w:top w:w="0" w:type="dxa"/>
            <w:bottom w:w="0" w:type="dxa"/>
          </w:tblCellMar>
        </w:tblPrEx>
        <w:tc>
          <w:tcPr>
            <w:tcW w:w="3200" w:type="dxa"/>
            <w:tcBorders>
              <w:top w:val="none" w:sz="0" w:space="0" w:color="FFFFFF"/>
              <w:left w:val="none" w:sz="0" w:space="0" w:color="FFFFFF"/>
              <w:bottom w:val="single" w:sz="4" w:space="0" w:color="000000"/>
              <w:right w:val="none" w:sz="0" w:space="0" w:color="FFFFFF"/>
            </w:tcBorders>
          </w:tcPr>
          <w:p w:rsidR="005A3044" w:rsidRDefault="005A3044">
            <w:pPr>
              <w:jc w:val="both"/>
            </w:pPr>
          </w:p>
        </w:tc>
        <w:tc>
          <w:tcPr>
            <w:tcW w:w="6700" w:type="dxa"/>
            <w:tcBorders>
              <w:top w:val="none" w:sz="0" w:space="0" w:color="FFFFFF"/>
              <w:left w:val="none" w:sz="0" w:space="0" w:color="FFFFFF"/>
              <w:bottom w:val="single" w:sz="4" w:space="0" w:color="000000"/>
              <w:right w:val="none" w:sz="0" w:space="0" w:color="FFFFFF"/>
            </w:tcBorders>
          </w:tcPr>
          <w:p w:rsidR="005A3044" w:rsidRDefault="00005866">
            <w:pPr>
              <w:spacing w:after="60"/>
              <w:jc w:val="center"/>
            </w:pPr>
            <w:r>
              <w:rPr>
                <w:i/>
                <w:iCs/>
                <w:sz w:val="16"/>
                <w:szCs w:val="16"/>
              </w:rPr>
              <w:t>This is an open access article under the CC BY-SA license.</w:t>
            </w:r>
          </w:p>
          <w:p w:rsidR="005A3044" w:rsidRDefault="005A3044">
            <w:pPr>
              <w:spacing w:after="60"/>
              <w:jc w:val="center"/>
            </w:pPr>
          </w:p>
        </w:tc>
      </w:tr>
      <w:tr w:rsidR="005A3044">
        <w:tblPrEx>
          <w:tblCellMar>
            <w:top w:w="0" w:type="dxa"/>
            <w:bottom w:w="0" w:type="dxa"/>
          </w:tblCellMar>
        </w:tblPrEx>
        <w:tc>
          <w:tcPr>
            <w:tcW w:w="3200" w:type="dxa"/>
            <w:gridSpan w:val="2"/>
            <w:tcBorders>
              <w:top w:val="none" w:sz="0" w:space="0" w:color="FFFFFF"/>
              <w:left w:val="none" w:sz="0" w:space="0" w:color="FFFFFF"/>
              <w:bottom w:val="none" w:sz="0" w:space="0" w:color="FFFFFF"/>
              <w:right w:val="none" w:sz="0" w:space="0" w:color="FFFFFF"/>
            </w:tcBorders>
          </w:tcPr>
          <w:p w:rsidR="005A3044" w:rsidRDefault="00005866">
            <w:pPr>
              <w:spacing w:after="100"/>
              <w:jc w:val="both"/>
            </w:pPr>
            <w:r>
              <w:rPr>
                <w:b/>
                <w:bCs/>
                <w:i/>
                <w:iCs/>
                <w:sz w:val="18"/>
                <w:szCs w:val="18"/>
              </w:rPr>
              <w:t>Corresponding Author:</w:t>
            </w:r>
          </w:p>
          <w:p w:rsidR="005A3044" w:rsidRDefault="00005866">
            <w:pPr>
              <w:spacing w:after="20"/>
              <w:jc w:val="both"/>
            </w:pPr>
            <w:r>
              <w:rPr>
                <w:sz w:val="18"/>
                <w:szCs w:val="18"/>
              </w:rPr>
              <w:t>Anis Safia</w:t>
            </w:r>
          </w:p>
          <w:p w:rsidR="005A3044" w:rsidRDefault="00005866" w:rsidP="00CC0047">
            <w:pPr>
              <w:jc w:val="both"/>
            </w:pPr>
            <w:r>
              <w:rPr>
                <w:b/>
                <w:bCs/>
                <w:sz w:val="18"/>
                <w:szCs w:val="18"/>
              </w:rPr>
              <w:t>Program Studi Akuntansi Syariah</w:t>
            </w:r>
            <w:r w:rsidR="00CC0047">
              <w:t xml:space="preserve">, </w:t>
            </w:r>
            <w:r>
              <w:rPr>
                <w:b/>
                <w:bCs/>
                <w:sz w:val="18"/>
                <w:szCs w:val="18"/>
              </w:rPr>
              <w:t>Faku</w:t>
            </w:r>
            <w:bookmarkStart w:id="0" w:name="_GoBack"/>
            <w:bookmarkEnd w:id="0"/>
            <w:r>
              <w:rPr>
                <w:b/>
                <w:bCs/>
                <w:sz w:val="18"/>
                <w:szCs w:val="18"/>
              </w:rPr>
              <w:t>ltas Syariah dan Ekonomi Islam</w:t>
            </w:r>
          </w:p>
          <w:p w:rsidR="005A3044" w:rsidRDefault="00005866">
            <w:pPr>
              <w:spacing w:after="100"/>
              <w:jc w:val="both"/>
            </w:pPr>
            <w:r>
              <w:rPr>
                <w:b/>
                <w:bCs/>
                <w:sz w:val="18"/>
                <w:szCs w:val="18"/>
              </w:rPr>
              <w:t>IAIN Datuk Laksamana Bengkalis</w:t>
            </w:r>
          </w:p>
          <w:p w:rsidR="005A3044" w:rsidRDefault="00005866">
            <w:pPr>
              <w:jc w:val="both"/>
            </w:pPr>
            <w:r>
              <w:rPr>
                <w:sz w:val="18"/>
                <w:szCs w:val="18"/>
              </w:rPr>
              <w:t xml:space="preserve">Email: </w:t>
            </w:r>
            <w:hyperlink r:id="rId7" w:history="1">
              <w:r w:rsidR="00CC0047" w:rsidRPr="00FD32CD">
                <w:rPr>
                  <w:rStyle w:val="Hyperlink"/>
                  <w:sz w:val="18"/>
                  <w:szCs w:val="18"/>
                </w:rPr>
                <w:t>anissafiabarakah@gmail.com</w:t>
              </w:r>
            </w:hyperlink>
          </w:p>
        </w:tc>
      </w:tr>
    </w:tbl>
    <w:p w:rsidR="005A3044" w:rsidRDefault="005A3044">
      <w:pPr>
        <w:spacing w:after="200"/>
        <w:jc w:val="both"/>
      </w:pPr>
    </w:p>
    <w:p w:rsidR="00CC0047" w:rsidRDefault="00CC0047">
      <w:pPr>
        <w:spacing w:after="200"/>
        <w:jc w:val="both"/>
      </w:pPr>
    </w:p>
    <w:p w:rsidR="005A3044" w:rsidRDefault="00005866">
      <w:pPr>
        <w:spacing w:before="200" w:after="100"/>
      </w:pPr>
      <w:r>
        <w:rPr>
          <w:b/>
          <w:bCs/>
        </w:rPr>
        <w:lastRenderedPageBreak/>
        <w:t>1. PENDAHULUAN</w:t>
      </w:r>
    </w:p>
    <w:p w:rsidR="005A3044" w:rsidRDefault="00005866">
      <w:pPr>
        <w:ind w:firstLine="576"/>
        <w:jc w:val="both"/>
      </w:pPr>
      <w:r>
        <w:t>Industri perbankan syariah mengalami perkembangan yang cukup pesat baik di tingkat global maupun nasional, terutama di negara-negara dengan mayoritas penduduk Muslim. Perkembangan tersebut didorong oleh meningkatnya kesadaran masyarakat terhadap pentingnya</w:t>
      </w:r>
      <w:r>
        <w:t xml:space="preserve"> penggunaan produk keuangan yang sesuai dengan prinsip-prinsip syariah Islam, seperti larangan riba, gharar (ketidakjelasan), dan maisir (spekulasi). Kehadiran bank syariah menjadi alternatif bagi masyarakat yang menginginkan sistem keuangan yang lebih adi</w:t>
      </w:r>
      <w:r>
        <w:t>l, transparan, dan sesuai dengan ketentuan syariat Islam [1].</w:t>
      </w:r>
    </w:p>
    <w:p w:rsidR="005A3044" w:rsidRDefault="00005866">
      <w:pPr>
        <w:ind w:firstLine="576"/>
        <w:jc w:val="both"/>
      </w:pPr>
      <w:r>
        <w:t>Pada dasarnya, bank merupakan lembaga keuangan yang berfungsi menghimpun dana dari masyarakat dan menyalurkannya kembali kepada masyarakat dalam bentuk pembiayaan atau kredit, sehingga bank memi</w:t>
      </w:r>
      <w:r>
        <w:t>liki fungsi sebagai lembaga intermediasi (financial intermediary). Di Indonesia, sistem perbankan terdiri dari dua jenis, yaitu bank konvensional dan bank syariah. Berdasarkan Undang-Undang Nomor 21 Tahun 2008 tentang Perbankan Syariah, bank syariah adalah</w:t>
      </w:r>
      <w:r>
        <w:t xml:space="preserve"> bank yang menjalankan kegiatan usahanya berdasarkan prinsip syariah yang berpedoman pada fatwa Majelis Ulama Indonesia (MUI).</w:t>
      </w:r>
    </w:p>
    <w:p w:rsidR="005A3044" w:rsidRDefault="00005866">
      <w:pPr>
        <w:ind w:firstLine="576"/>
        <w:jc w:val="both"/>
      </w:pPr>
      <w:r>
        <w:t>Prinsip syariah dalam perbankan meliputi keadilan (‘adl), keseimbangan (tawazun), kemaslahatan (maslahah), dan universalisme (‘al</w:t>
      </w:r>
      <w:r>
        <w:t>amiyah), serta harus terbebas dari unsur riba, gharar, maisir, zalim, dan transaksi yang haram. Selain menjalankan fungsi komersial, bank syariah juga memiliki fungsi sosial seperti baitul mal yang dapat menerima dan menyalurkan dana zakat, infak, sedekah,</w:t>
      </w:r>
      <w:r>
        <w:t xml:space="preserve"> hibah, dan wakaf [2].</w:t>
      </w:r>
    </w:p>
    <w:p w:rsidR="005A3044" w:rsidRDefault="00005866">
      <w:pPr>
        <w:ind w:firstLine="576"/>
        <w:jc w:val="both"/>
      </w:pPr>
      <w:r>
        <w:t>Pelaksanaan pengawasan terhadap bank syariah dilakukan oleh Otoritas Jasa Keuangan (OJK), sedangkan pengawasan terhadap penerapan prinsip syariah dilakukan oleh Dewan Pengawas Syariah (DPS) yang berpedoman pada fatwa Dewan Syariah Na</w:t>
      </w:r>
      <w:r>
        <w:t>sional Majelis Ulama Indonesia (DSN-MUI). Keberadaan DPS sangat penting untuk memastikan bahwa seluruh produk dan operasional bank syariah telah sesuai dengan prinsip syariah.</w:t>
      </w:r>
    </w:p>
    <w:p w:rsidR="005A3044" w:rsidRDefault="00005866">
      <w:pPr>
        <w:ind w:firstLine="576"/>
        <w:jc w:val="both"/>
      </w:pPr>
      <w:r>
        <w:t>Salah satu produk penghimpunan dana pada bank syariah adalah deposito mudharabah</w:t>
      </w:r>
      <w:r>
        <w:t xml:space="preserve">. Berdasarkan Undang-Undang Nomor 10 Tahun 1998 tentang Perbankan, deposito merupakan simpanan yang penarikannya hanya dapat dilakukan pada waktu tertentu sesuai dengan perjanjian antara nasabah dan bank. Dalam perbankan syariah, deposito menggunakan akad </w:t>
      </w:r>
      <w:r>
        <w:t>mudharabah, yaitu akad kerja sama antara pemilik modal (shahibul mal) dan pengelola dana (mudharib) dengan sistem pembagian keuntungan berdasarkan nisbah yang telah disepakati.</w:t>
      </w:r>
    </w:p>
    <w:p w:rsidR="005A3044" w:rsidRDefault="00005866">
      <w:pPr>
        <w:ind w:firstLine="576"/>
        <w:jc w:val="both"/>
      </w:pPr>
      <w:r>
        <w:t xml:space="preserve">Dalam akad mudharabah, nasabah bertindak sebagai pemilik dana yang menyerahkan </w:t>
      </w:r>
      <w:r>
        <w:t xml:space="preserve">dananya kepada bank, sedangkan bank bertindak sebagai pengelola dana. Dana tersebut kemudian diinvestasikan pada kegiatan usaha yang halal dan produktif. Keuntungan yang diperoleh akan dibagikan sesuai nisbah yang telah disepakati, sedangkan kerugian akan </w:t>
      </w:r>
      <w:r>
        <w:t>ditanggung oleh pemilik dana sepanjang bukan akibat kelalaian pihak bank.</w:t>
      </w:r>
    </w:p>
    <w:p w:rsidR="005A3044" w:rsidRDefault="00005866">
      <w:pPr>
        <w:ind w:firstLine="576"/>
        <w:jc w:val="both"/>
      </w:pPr>
      <w:r>
        <w:t>Prinsip bagi hasil (profit sharing) menjadi ciri utama yang membedakan bank syariah dengan bank konvensional. Pada bank konvensional, keuntungan diberikan dalam bentuk bunga yang ber</w:t>
      </w:r>
      <w:r>
        <w:t>sifat tetap, sedangkan pada bank syariah keuntungan diberikan dalam bentuk bagi hasil yang besarannya menyesuaikan dengan hasil usaha yang diperoleh bank. Sistem bagi hasil dalam perbankan syariah dapat menggunakan metode profit sharing maupun revenue shar</w:t>
      </w:r>
      <w:r>
        <w:t>ing.</w:t>
      </w:r>
    </w:p>
    <w:p w:rsidR="005A3044" w:rsidRDefault="00005866">
      <w:pPr>
        <w:ind w:firstLine="576"/>
        <w:jc w:val="both"/>
      </w:pPr>
      <w:r>
        <w:t>Profit sharing merupakan metode pembagian keuntungan berdasarkan laba bersih setelah dikurangi biaya operasional, sedangkan revenue sharing merupakan metode pembagian keuntungan berdasarkan pendapatan kotor sebelum dikurangi biaya operasional. Dalam p</w:t>
      </w:r>
      <w:r>
        <w:t>raktiknya, pembagian hasil usaha tersebut ditentukan melalui nisbah yang disepakati pada saat akad berlangsung.</w:t>
      </w:r>
    </w:p>
    <w:p w:rsidR="005A3044" w:rsidRDefault="00005866">
      <w:pPr>
        <w:ind w:firstLine="576"/>
        <w:jc w:val="both"/>
      </w:pPr>
      <w:r>
        <w:t>Deposito mudharabah merupakan salah satu produk investasi syariah yang banyak diminati masyarakat karena memberikan keuntungan melalui sistem ba</w:t>
      </w:r>
      <w:r>
        <w:t>gi hasil. Produk ini umumnya menggunakan akad mudharabah mutlaqah, yaitu akad yang memberikan kebebasan kepada bank sebagai mudharib untuk mengelola dana nasabah pada berbagai jenis usaha yang halal tanpa adanya pembatasan tertentu dari pemilik dana. Selai</w:t>
      </w:r>
      <w:r>
        <w:t>n mudharabah mutlaqah, terdapat pula mudharabah muqayyadah, yaitu akad mudharabah yang memberikan batasan tertentu kepada bank dalam mengelola dana investasi, di mana nasabah dapat menentukan jenis usaha, tempat, atau objek investasi yang dikehendaki.</w:t>
      </w:r>
    </w:p>
    <w:p w:rsidR="005A3044" w:rsidRDefault="00005866">
      <w:pPr>
        <w:ind w:firstLine="576"/>
        <w:jc w:val="both"/>
      </w:pPr>
      <w:r>
        <w:t>Besa</w:t>
      </w:r>
      <w:r>
        <w:t>rnya bagi hasil yang diterima nasabah dipengaruhi oleh beberapa faktor, baik faktor langsung maupun tidak langsung. Faktor langsung meliputi investment rate, jumlah dana yang tersedia untuk diinvestasikan, dan besarnya nisbah bagi hasil, sedangkan faktor t</w:t>
      </w:r>
      <w:r>
        <w:t>idak langsung meliputi kebijakan akuntansi, metode pengakuan pendapatan dan biaya, serta sistem distribusi hasil usaha yang diterapkan oleh bank.</w:t>
      </w:r>
    </w:p>
    <w:p w:rsidR="005A3044" w:rsidRDefault="00005866">
      <w:pPr>
        <w:ind w:firstLine="576"/>
        <w:jc w:val="both"/>
      </w:pPr>
      <w:r>
        <w:t>Dalam praktik akuntansi perbankan syariah, pengakuan, pengukuran, penyajian, dan pengungkapan deposito mudhara</w:t>
      </w:r>
      <w:r>
        <w:t>bah harus sesuai dengan PSAK No. 105 tentang Akuntansi Mudharabah. PSAK tersebut menjadi pedoman bagi bank syariah dalam mencatat transaksi mudharabah agar laporan keuangan yang dihasilkan lebih transparan, akuntabel, dan sesuai dengan prinsip syariah.</w:t>
      </w:r>
    </w:p>
    <w:p w:rsidR="005A3044" w:rsidRDefault="00005866">
      <w:pPr>
        <w:ind w:firstLine="576"/>
        <w:jc w:val="both"/>
      </w:pPr>
      <w:r>
        <w:t>Meskipun deposito mudharabah telah berkembang sebagai salah satu produk unggulan perbankan syariah, dalam praktiknya masih terdapat berbagai permasalahan yang ditemukan di lapangan. Salah satu permasalahan yang sering terjadi adalah masih rendahnya pemaham</w:t>
      </w:r>
      <w:r>
        <w:t xml:space="preserve">an masyarakat mengenai mekanisme bagi </w:t>
      </w:r>
      <w:r>
        <w:lastRenderedPageBreak/>
        <w:t>hasil pada deposito mudharabah; sebagian masyarakat masih menyamakan sistem bagi hasil pada bank syariah dengan sistem bunga pada bank konvensional.</w:t>
      </w:r>
    </w:p>
    <w:p w:rsidR="005A3044" w:rsidRDefault="00005866">
      <w:pPr>
        <w:ind w:firstLine="576"/>
        <w:jc w:val="both"/>
      </w:pPr>
      <w:r>
        <w:t>Selain itu, terdapat perbedaan penerapan metode pembagian hasil antar</w:t>
      </w:r>
      <w:r>
        <w:t>a satu bank syariah dengan lainnya, terutama dalam penggunaan metode profit sharing dan revenue sharing. Perbedaan tersebut dapat memengaruhi besarnya keuntungan yang diterima nasabah sehingga menimbulkan persepsi yang berbeda terhadap tingkat keuntungan d</w:t>
      </w:r>
      <w:r>
        <w:t>eposito mudharabah. Permasalahan lain yang muncul adalah terkait transparansi bank dalam menyampaikan perhitungan nisbah bagi hasil kepada nasabah; dalam beberapa kasus, nasabah belum sepenuhnya memahami dasar perhitungan bagi hasil serta faktor-faktor yan</w:t>
      </w:r>
      <w:r>
        <w:t>g memengaruhi besar kecilnya keuntungan yang diterima.</w:t>
      </w:r>
    </w:p>
    <w:p w:rsidR="005A3044" w:rsidRDefault="00005866">
      <w:pPr>
        <w:ind w:firstLine="576"/>
        <w:jc w:val="both"/>
      </w:pPr>
      <w:r>
        <w:t xml:space="preserve">Di sisi lain, penerapan akuntansi deposito mudharabah juga menjadi perhatian penting dalam operasional bank syariah. Pengakuan dan pencatatan transaksi yang belum sepenuhnya sesuai dengan PSAK No. 105 </w:t>
      </w:r>
      <w:r>
        <w:t>dapat memengaruhi kualitas laporan keuangan bank syariah. Oleh karena itu, diperlukan penerapan sistem akuntansi yang sesuai standar agar laporan keuangan yang dihasilkan dapat memberikan informasi yang akurat, transparan, dan dapat dipercaya.</w:t>
      </w:r>
    </w:p>
    <w:p w:rsidR="005A3044" w:rsidRDefault="00005866">
      <w:pPr>
        <w:ind w:firstLine="576"/>
        <w:jc w:val="both"/>
      </w:pPr>
      <w:r>
        <w:t xml:space="preserve">Berdasarkan </w:t>
      </w:r>
      <w:r>
        <w:t xml:space="preserve">uraian tersebut, dapat dipahami bahwa deposito mudharabah memiliki peranan penting dalam penghimpunan dana pada perbankan syariah. Namun demikian, masih terdapat berbagai permasalahan terkait penerapan sistem bagi hasil, pemahaman masyarakat, transparansi </w:t>
      </w:r>
      <w:r>
        <w:t xml:space="preserve">pengelolaan dana, serta penerapan akuntansi mudharabah. Oleh karena itu, penelitian mengenai penerapan akuntansi deposito mudharabah dan sistem bagi hasil pada bank syariah menjadi penting untuk dilakukan guna mengetahui kesesuaian praktik yang diterapkan </w:t>
      </w:r>
      <w:r>
        <w:t>dengan prinsip syariah dan standar akuntansi yang berlaku.</w:t>
      </w:r>
    </w:p>
    <w:p w:rsidR="005A3044" w:rsidRDefault="00005866">
      <w:pPr>
        <w:spacing w:before="200" w:after="100"/>
      </w:pPr>
      <w:r>
        <w:rPr>
          <w:b/>
          <w:bCs/>
        </w:rPr>
        <w:t>2. METODE PENELITIAN</w:t>
      </w:r>
    </w:p>
    <w:p w:rsidR="005A3044" w:rsidRDefault="00005866">
      <w:pPr>
        <w:ind w:firstLine="576"/>
        <w:jc w:val="both"/>
      </w:pPr>
      <w:r>
        <w:t>Penelitian ini menggunakan metode penelitian kualitatif dengan pendekatan studi kasus untuk menganalisis penerapan akuntansi deposito mudharabah pada PT Bank Syariah Indonesia (BSI) Bengkalis. Penelitian dilaksanakan di PT Bank Syariah Indonesia (BSI) Beng</w:t>
      </w:r>
      <w:r>
        <w:t>kalis yang berlokasi di Jalan Hang Tuah, Kecamatan Bengkalis, Kabupaten Bengkalis, Provinsi Riau, selama tiga bulan.</w:t>
      </w:r>
    </w:p>
    <w:p w:rsidR="005A3044" w:rsidRDefault="00005866">
      <w:pPr>
        <w:ind w:firstLine="576"/>
        <w:jc w:val="both"/>
      </w:pPr>
      <w:r>
        <w:t>Informan penelitian terdiri atas Branch Operation &amp; Service Manager (BOSM), Customer Service Executive (CSE), Customer Service (CS), dan pe</w:t>
      </w:r>
      <w:r>
        <w:t>tugas Core Banking System (CBS) yang terlibat langsung dalam operasional dan pencatatan deposito mudharabah. Data yang digunakan meliputi data primer yang diperoleh melalui wawancara langsung dengan para informan, serta data sekunder yang berasal dari doku</w:t>
      </w:r>
      <w:r>
        <w:t>men perusahaan, laporan, buku, jurnal ilmiah, dan PSAK No. 105 tentang Akuntansi Mudharabah.</w:t>
      </w:r>
    </w:p>
    <w:p w:rsidR="005A3044" w:rsidRDefault="00005866">
      <w:pPr>
        <w:ind w:firstLine="576"/>
        <w:jc w:val="both"/>
      </w:pPr>
      <w:r>
        <w:t>Teknik pengumpulan data dilakukan melalui wawancara dan dokumentasi. Selanjutnya, data dianalisis menggunakan metode deskriptif kualitatif dengan mendeskripsikan h</w:t>
      </w:r>
      <w:r>
        <w:t>asil temuan di lapangan, kemudian membandingkannya dengan teori dan ketentuan PSAK No. 105 untuk menilai kesesuaian penerapan akuntansi deposito mudharabah pada PT Bank Syariah Indonesia (BSI) Bengkalis. Hasil analisis digunakan sebagai dasar dalam menarik</w:t>
      </w:r>
      <w:r>
        <w:t xml:space="preserve"> kesimpulan serta memberikan rekomendasi yang relevan.</w:t>
      </w:r>
    </w:p>
    <w:p w:rsidR="005A3044" w:rsidRDefault="00005866">
      <w:pPr>
        <w:spacing w:before="200" w:after="100"/>
      </w:pPr>
      <w:r>
        <w:rPr>
          <w:b/>
          <w:bCs/>
        </w:rPr>
        <w:t>3. HASIL DAN PEMBAHASAN</w:t>
      </w:r>
    </w:p>
    <w:p w:rsidR="005A3044" w:rsidRDefault="00005866">
      <w:pPr>
        <w:ind w:firstLine="576"/>
        <w:jc w:val="both"/>
      </w:pPr>
      <w:r>
        <w:t>Penelitian ini dilakukan di PT Bank Syariah Indonesia (BSI) Bengkalis dengan menggunakan pendekatan kualitatif melalui wawancara dan dokumentasi. Informan penelitian terdiri ata</w:t>
      </w:r>
      <w:r>
        <w:t>s Branch Operation &amp; Service Manager (BOSM), Customer Service Executive (CSE), Customer Service (CS), dan bagian Core Banking System (CBS). Data yang diperoleh dianalisis dengan membandingkan praktik akuntansi deposito mudharabah di PT Bank Syariah Indones</w:t>
      </w:r>
      <w:r>
        <w:t>ia (BSI) Bengkalis dengan ketentuan yang diatur dalam PSAK No. 105 tentang Akuntansi Mudharabah.</w:t>
      </w:r>
    </w:p>
    <w:p w:rsidR="005A3044" w:rsidRDefault="00005866">
      <w:pPr>
        <w:spacing w:before="160" w:after="80"/>
      </w:pPr>
      <w:r>
        <w:rPr>
          <w:b/>
          <w:bCs/>
        </w:rPr>
        <w:t>3.1. Profil Produk Deposito Mudharabah</w:t>
      </w:r>
    </w:p>
    <w:p w:rsidR="005A3044" w:rsidRDefault="00005866">
      <w:pPr>
        <w:ind w:firstLine="576"/>
        <w:jc w:val="both"/>
      </w:pPr>
      <w:r>
        <w:t xml:space="preserve">Hasil penelitian menunjukkan bahwa produk deposito yang digunakan oleh PT Bank Syariah Indonesia (BSI) Bengkalis adalah </w:t>
      </w:r>
      <w:r>
        <w:t>deposito mudharabah mutlaqah, yaitu investasi berjangka dalam mata uang rupiah yang dikelola berdasarkan akad mudharabah. Dalam akad tersebut, nasabah bertindak sebagai shahibul maal (pemilik dana), sedangkan bank bertindak sebagai mudharib (pengelola dana</w:t>
      </w:r>
      <w:r>
        <w:t>). Dana yang dihimpun kemudian diinvestasikan pada kegiatan usaha yang sesuai dengan prinsip syariah, dan keuntungan dibagikan berdasarkan nisbah yang telah disepakati dalam akad.</w:t>
      </w:r>
    </w:p>
    <w:p w:rsidR="005A3044" w:rsidRDefault="00005866">
      <w:pPr>
        <w:spacing w:before="160" w:after="80"/>
      </w:pPr>
      <w:r>
        <w:rPr>
          <w:b/>
          <w:bCs/>
        </w:rPr>
        <w:t>3.2. Pengakuan</w:t>
      </w:r>
    </w:p>
    <w:p w:rsidR="005A3044" w:rsidRDefault="00005866">
      <w:pPr>
        <w:ind w:firstLine="576"/>
        <w:jc w:val="both"/>
      </w:pPr>
      <w:r>
        <w:t>Dari aspek pengakuan, hasil penelitian menunjukkan bahwa depo</w:t>
      </w:r>
      <w:r>
        <w:t>sito mudharabah diakui pada saat dana disetorkan oleh nasabah dan diterima oleh bank. Proses pencatatan dilakukan melalui sistem Core Banking System (CBS) sehingga setiap transaksi tercatat secara otomatis sesuai prosedur operasional bank. Praktik tersebut</w:t>
      </w:r>
      <w:r>
        <w:t xml:space="preserve"> telah sesuai dengan PSAK No. 105 yang menyatakan bahwa investasi mudharabah diakui ketika dana diterima oleh pengelola dana.</w:t>
      </w:r>
    </w:p>
    <w:p w:rsidR="005A3044" w:rsidRDefault="00005866">
      <w:pPr>
        <w:spacing w:before="160" w:after="80"/>
      </w:pPr>
      <w:r>
        <w:rPr>
          <w:b/>
          <w:bCs/>
        </w:rPr>
        <w:lastRenderedPageBreak/>
        <w:t>3.3. Pengukuran</w:t>
      </w:r>
    </w:p>
    <w:p w:rsidR="005A3044" w:rsidRDefault="00005866">
      <w:pPr>
        <w:ind w:firstLine="576"/>
        <w:jc w:val="both"/>
      </w:pPr>
      <w:r>
        <w:t>Pada aspek pengukuran, dana deposito mudharabah dicatat sebesar jumlah nominal yang diterima dari nasabah. Seluruh</w:t>
      </w:r>
      <w:r>
        <w:t xml:space="preserve"> transaksi dilakukan dalam bentuk kas sehingga pengukurannya didasarkan pada jumlah dana yang disetorkan tanpa adanya penyesuaian nilai. Perlakuan tersebut telah sesuai dengan ketentuan PSAK No. 105 yang menyatakan bahwa investasi mudharabah dalam bentuk k</w:t>
      </w:r>
      <w:r>
        <w:t>as diukur sebesar jumlah kas yang diterima.</w:t>
      </w:r>
    </w:p>
    <w:p w:rsidR="005A3044" w:rsidRDefault="00005866">
      <w:pPr>
        <w:spacing w:before="160" w:after="80"/>
      </w:pPr>
      <w:r>
        <w:rPr>
          <w:b/>
          <w:bCs/>
        </w:rPr>
        <w:t>3.4. Penyajian</w:t>
      </w:r>
    </w:p>
    <w:p w:rsidR="005A3044" w:rsidRDefault="00005866">
      <w:pPr>
        <w:ind w:firstLine="576"/>
        <w:jc w:val="both"/>
      </w:pPr>
      <w:r>
        <w:t>Pada aspek penyajian, deposito mudharabah disajikan sebagai Dana Syirkah Temporer dalam laporan posisi keuangan. Penyajian ini menunjukkan bahwa dana deposito bukan merupakan kewajiban maupun ekuit</w:t>
      </w:r>
      <w:r>
        <w:t>as bank, melainkan dana investasi yang dikelola berdasarkan akad mudharabah. Penyajian tersebut sesuai dengan ketentuan PSAK No. 105 yang mengharuskan dana mudharabah disajikan sebagai dana syirkah temporer.</w:t>
      </w:r>
    </w:p>
    <w:p w:rsidR="005A3044" w:rsidRDefault="00005866">
      <w:pPr>
        <w:spacing w:before="160" w:after="80"/>
      </w:pPr>
      <w:r>
        <w:rPr>
          <w:b/>
          <w:bCs/>
        </w:rPr>
        <w:t>3.5. Pengungkapan</w:t>
      </w:r>
    </w:p>
    <w:p w:rsidR="005A3044" w:rsidRDefault="00005866">
      <w:pPr>
        <w:ind w:firstLine="576"/>
        <w:jc w:val="both"/>
      </w:pPr>
      <w:r>
        <w:t>Pada aspek pengungkapan, PT Ba</w:t>
      </w:r>
      <w:r>
        <w:t>nk Syariah Indonesia (BSI) Bengkalis telah memberikan informasi kepada nasabah mengenai akad mudharabah, nisbah bagi hasil, jangka waktu deposito, dan mekanisme pembagian hasil melalui akad serta penjelasan dari petugas bank. Hal ini sejalan dengan PSAK No</w:t>
      </w:r>
      <w:r>
        <w:t>. 105 yang mengatur bahwa pengungkapan transaksi deposito mudharabah mencakup kebijakan akuntansi, metode pembagian hasil usaha, nisbah bagi hasil, saldo dana syirkah temporer, hak pihak ketiga atas bagi hasil, dan risiko yang berkaitan dengan penghimpunan</w:t>
      </w:r>
      <w:r>
        <w:t xml:space="preserve"> dana mudharabah.</w:t>
      </w:r>
    </w:p>
    <w:p w:rsidR="005A3044" w:rsidRDefault="00005866">
      <w:pPr>
        <w:spacing w:before="160" w:after="80"/>
      </w:pPr>
      <w:r>
        <w:rPr>
          <w:b/>
          <w:bCs/>
        </w:rPr>
        <w:t>3.6. Mekanisme Bagi Hasil</w:t>
      </w:r>
    </w:p>
    <w:p w:rsidR="005A3044" w:rsidRDefault="00005866">
      <w:pPr>
        <w:ind w:firstLine="576"/>
        <w:jc w:val="both"/>
      </w:pPr>
      <w:r>
        <w:t>Berdasarkan hasil wawancara, mekanisme pembagian keuntungan dilakukan menggunakan sistem nisbah bagi hasil yang telah disepakati sejak awal akad. Besarnya bagi hasil yang diterima nasabah bergantung pada hasil pe</w:t>
      </w:r>
      <w:r>
        <w:t xml:space="preserve">ngelolaan dana oleh bank sehingga tidak bersifat tetap sebagaimana bunga pada bank konvensional. Penerapan mekanisme tersebut mencerminkan karakteristik utama akad mudharabah yang menekankan prinsip keadilan, kemitraan, dan pembagian risiko sesuai syariat </w:t>
      </w:r>
      <w:r>
        <w:t>Islam.</w:t>
      </w:r>
    </w:p>
    <w:p w:rsidR="005A3044" w:rsidRDefault="00005866">
      <w:pPr>
        <w:spacing w:before="160" w:after="80"/>
      </w:pPr>
      <w:r>
        <w:rPr>
          <w:b/>
          <w:bCs/>
        </w:rPr>
        <w:t>3.7. Keterbatasan Akses Data Penelitian</w:t>
      </w:r>
    </w:p>
    <w:p w:rsidR="005A3044" w:rsidRDefault="00005866">
      <w:pPr>
        <w:ind w:firstLine="576"/>
        <w:jc w:val="both"/>
      </w:pPr>
      <w:r>
        <w:t>Penelitian ini menemukan adanya keterbatasan dalam memperoleh data pendukung berupa jurnal akuntansi, laporan keuangan rinci, dan dokumen transaksi deposito mudharabah. Pihak bank tidak dapat memberikan dokume</w:t>
      </w:r>
      <w:r>
        <w:t>n tersebut karena merupakan data internal yang bersifat rahasia. Oleh karena itu, analisis penelitian lebih banyak didasarkan pada hasil wawancara dengan informan, observasi, serta dokumen yang dapat diakses oleh peneliti.</w:t>
      </w:r>
    </w:p>
    <w:p w:rsidR="005A3044" w:rsidRDefault="00005866">
      <w:pPr>
        <w:spacing w:before="160" w:after="80"/>
      </w:pPr>
      <w:r>
        <w:rPr>
          <w:b/>
          <w:bCs/>
        </w:rPr>
        <w:t>3.8. Ringkasan Temuan</w:t>
      </w:r>
    </w:p>
    <w:p w:rsidR="005A3044" w:rsidRDefault="00005866">
      <w:pPr>
        <w:ind w:firstLine="576"/>
        <w:jc w:val="both"/>
      </w:pPr>
      <w:r>
        <w:t>Secara kese</w:t>
      </w:r>
      <w:r>
        <w:t>luruhan, hasil penelitian menunjukkan bahwa penerapan akuntansi deposito mudharabah pada PT Bank Syariah Indonesia (BSI) Bengkalis telah sesuai dengan ketentuan PSAK No. 105. Kesesuaian tersebut terlihat dari aspek pengakuan, pengukuran, penyajian, dan pen</w:t>
      </w:r>
      <w:r>
        <w:t>gungkapan yang telah diterapkan sesuai dengan standar akuntansi syariah. Penggunaan sistem Core Banking System juga mendukung ketepatan pencatatan transaksi sehingga proses akuntansi deposito mudharabah dapat berjalan secara efektif, akurat, dan sesuai den</w:t>
      </w:r>
      <w:r>
        <w:t>gan prinsip syariah. Namun, peningkatan transparansi informasi kepada nasabah dan penyediaan data yang dapat diakses untuk kepentingan penelitian akademik tetap menjadi aspek yang dapat dikembangkan di masa mendatang.</w:t>
      </w:r>
    </w:p>
    <w:p w:rsidR="005A3044" w:rsidRDefault="00005866">
      <w:pPr>
        <w:spacing w:before="200" w:after="100"/>
      </w:pPr>
      <w:r>
        <w:rPr>
          <w:b/>
          <w:bCs/>
        </w:rPr>
        <w:t>4. KESIMPULAN</w:t>
      </w:r>
    </w:p>
    <w:p w:rsidR="005A3044" w:rsidRDefault="00005866">
      <w:pPr>
        <w:ind w:firstLine="576"/>
        <w:jc w:val="both"/>
      </w:pPr>
      <w:r>
        <w:t>Berdasarkan hasil peneli</w:t>
      </w:r>
      <w:r>
        <w:t>tian yang telah dipaparkan, dapat disimpulkan sebagai berikut.</w:t>
      </w:r>
    </w:p>
    <w:p w:rsidR="005A3044" w:rsidRDefault="00005866">
      <w:pPr>
        <w:ind w:firstLine="576"/>
        <w:jc w:val="both"/>
      </w:pPr>
      <w:r>
        <w:t>Pertama, penerapan deposito mudharabah pada PT Bank Syariah Indonesia (BSI) Bengkalis menggunakan akad mudharabah mutlaqah, di mana nasabah bertindak sebagai shahibul maal (pemilik dana) dan ba</w:t>
      </w:r>
      <w:r>
        <w:t>nk bertindak sebagai mudharib (pengelola dana). Dana yang dihimpun dari nasabah dikelola oleh bank sesuai prinsip syariah, dan keuntungan yang diperoleh dibagikan berdasarkan nisbah yang telah disepakati dalam akad. Proses pembukaan, pengelolaan, pembagian</w:t>
      </w:r>
      <w:r>
        <w:t xml:space="preserve"> bagi hasil, dan pencairan deposito telah dilaksanakan sesuai dengan ketentuan operasional perbankan syariah.</w:t>
      </w:r>
    </w:p>
    <w:p w:rsidR="005A3044" w:rsidRDefault="00005866">
      <w:pPr>
        <w:ind w:firstLine="576"/>
        <w:jc w:val="both"/>
      </w:pPr>
      <w:r>
        <w:t>Kedua, penerapan akuntansi deposito mudharabah pada PT Bank Syariah Indonesia (BSI) Bengkalis secara umum telah sesuai dengan PSAK No. 105 tentang</w:t>
      </w:r>
      <w:r>
        <w:t xml:space="preserve"> Akuntansi Mudharabah. Dari aspek pengakuan, deposito mudharabah diakui pada saat dana diterima dari nasabah. Dari aspek pengukuran, dana dicatat sebesar nominal yang diterima. Dari aspek penyajian, deposito mudharabah disajikan sebagai Dana Syirkah Tempor</w:t>
      </w:r>
      <w:r>
        <w:t xml:space="preserve">er dalam laporan keuangan. Dari aspek pengungkapan, bank telah memberikan informasi mengenai akad, nisbah bagi hasil, dan ketentuan deposito mudharabah kepada nasabah. Dengan demikian, penerapan akuntansi </w:t>
      </w:r>
      <w:r>
        <w:lastRenderedPageBreak/>
        <w:t xml:space="preserve">deposito mudharabah pada PT Bank Syariah Indonesia </w:t>
      </w:r>
      <w:r>
        <w:t>(BSI) Bengkalis telah memenuhi ketentuan yang diatur dalam PSAK No. 105.</w:t>
      </w:r>
    </w:p>
    <w:p w:rsidR="005A3044" w:rsidRDefault="00005866">
      <w:pPr>
        <w:ind w:firstLine="576"/>
        <w:jc w:val="both"/>
      </w:pPr>
      <w:r>
        <w:t>Ketiga, meskipun penerapan akuntansi deposito mudharabah telah sesuai dengan PSAK No. 105, penelitian ini memiliki keterbatasan karena peneliti tidak memperoleh akses terhadap data tr</w:t>
      </w:r>
      <w:r>
        <w:t>ansaksi dan laporan keuangan internal yang berkaitan dengan deposito mudharabah. Oleh karena itu, analisis dilakukan berdasarkan hasil wawancara dan dokumentasi yang dapat diakses oleh peneliti. Penelitian selanjutnya disarankan untuk memperluas akses data</w:t>
      </w:r>
      <w:r>
        <w:t>, membandingkan praktik antarcabang atau antarbank syariah, serta mengkaji lebih dalam metode perhitungan dan distribusi nisbah bagi hasil.</w:t>
      </w:r>
    </w:p>
    <w:p w:rsidR="005A3044" w:rsidRDefault="00005866">
      <w:pPr>
        <w:spacing w:before="200" w:after="100"/>
      </w:pPr>
      <w:r>
        <w:rPr>
          <w:b/>
          <w:bCs/>
        </w:rPr>
        <w:t>REFERENSI</w:t>
      </w:r>
    </w:p>
    <w:p w:rsidR="005A3044" w:rsidRDefault="00005866">
      <w:pPr>
        <w:spacing w:after="100"/>
      </w:pPr>
      <w:r>
        <w:rPr>
          <w:sz w:val="16"/>
          <w:szCs w:val="16"/>
        </w:rPr>
        <w:t>[1] R. F. Suriani, "</w:t>
      </w:r>
      <w:r>
        <w:rPr>
          <w:sz w:val="16"/>
          <w:szCs w:val="16"/>
        </w:rPr>
        <w:t>Pengaruh Akuntansi Deposito Mudharabah Dalam Unit Syariah Bank Konvensional Pada Laporan Keuangan Bank Tersebut," vol. 1, no. 6, Dec. 2024–Jan. 2025.</w:t>
      </w:r>
    </w:p>
    <w:p w:rsidR="005A3044" w:rsidRDefault="00005866">
      <w:pPr>
        <w:spacing w:after="100"/>
      </w:pPr>
      <w:r>
        <w:rPr>
          <w:sz w:val="16"/>
          <w:szCs w:val="16"/>
        </w:rPr>
        <w:t>[2] Nurnasrina, Perbankan Syari’ah 1. Pekanbaru: Suska Press, 2012, p. 185.</w:t>
      </w:r>
    </w:p>
    <w:p w:rsidR="005A3044" w:rsidRDefault="00005866">
      <w:pPr>
        <w:spacing w:after="100"/>
      </w:pPr>
      <w:r>
        <w:rPr>
          <w:sz w:val="16"/>
          <w:szCs w:val="16"/>
        </w:rPr>
        <w:t>[3] Adiwarman Karim, Bank Isla</w:t>
      </w:r>
      <w:r>
        <w:rPr>
          <w:sz w:val="16"/>
          <w:szCs w:val="16"/>
        </w:rPr>
        <w:t>m: Analisis Fiqh dan Keuangan. Jakarta: PT Raja Grafindo Persada, 2008.</w:t>
      </w:r>
    </w:p>
    <w:p w:rsidR="005A3044" w:rsidRDefault="00005866">
      <w:pPr>
        <w:spacing w:after="100"/>
      </w:pPr>
      <w:r>
        <w:rPr>
          <w:sz w:val="16"/>
          <w:szCs w:val="16"/>
        </w:rPr>
        <w:t>[4] "Analisis Penerapan PSAK 105 tentang Akuntansi Mudharabah pada Lembaga Keuangan Syariah," Jurnal Akuntansi Multiparadigma, vol. 9, no. 1, pp. 112–123.</w:t>
      </w:r>
    </w:p>
    <w:p w:rsidR="005A3044" w:rsidRDefault="00005866">
      <w:pPr>
        <w:spacing w:after="100"/>
      </w:pPr>
      <w:r>
        <w:rPr>
          <w:sz w:val="16"/>
          <w:szCs w:val="16"/>
        </w:rPr>
        <w:t>[5] Muhammad Syafi’i Antonio,</w:t>
      </w:r>
      <w:r>
        <w:rPr>
          <w:sz w:val="16"/>
          <w:szCs w:val="16"/>
        </w:rPr>
        <w:t xml:space="preserve"> Bank Syariah: Dari Teori ke Praktik. Jakarta: Gema Insani Press, 2001.</w:t>
      </w:r>
    </w:p>
    <w:p w:rsidR="005A3044" w:rsidRDefault="00005866">
      <w:pPr>
        <w:spacing w:after="100"/>
      </w:pPr>
      <w:r>
        <w:rPr>
          <w:sz w:val="16"/>
          <w:szCs w:val="16"/>
        </w:rPr>
        <w:t>[6] Ascarya, Akad dan Produk Bank Syariah. Jakarta: PT Raja Grafindo Persada, 2015.</w:t>
      </w:r>
    </w:p>
    <w:p w:rsidR="005A3044" w:rsidRDefault="00005866">
      <w:pPr>
        <w:spacing w:after="100"/>
      </w:pPr>
      <w:r>
        <w:rPr>
          <w:sz w:val="16"/>
          <w:szCs w:val="16"/>
        </w:rPr>
        <w:t>[7] Bank Indonesia, Pedoman Akuntansi Perbankan Syariah Indonesia (PAPSI). Jakarta: Bank Indonesia.</w:t>
      </w:r>
    </w:p>
    <w:p w:rsidR="005A3044" w:rsidRDefault="00005866">
      <w:pPr>
        <w:spacing w:after="100"/>
      </w:pPr>
      <w:r>
        <w:rPr>
          <w:sz w:val="16"/>
          <w:szCs w:val="16"/>
        </w:rPr>
        <w:t>[8] Bank Syariah Indonesia, Laporan Tahunan PT Bank Syariah Indonesia Tbk Tahun 2024. Jakarta: PT Bank Syariah Indonesia Tbk.</w:t>
      </w:r>
    </w:p>
    <w:p w:rsidR="005A3044" w:rsidRDefault="00005866">
      <w:pPr>
        <w:spacing w:after="100"/>
      </w:pPr>
      <w:r>
        <w:rPr>
          <w:sz w:val="16"/>
          <w:szCs w:val="16"/>
        </w:rPr>
        <w:t>[9] Bank Syariah Indonesia, Produk dan Layanan Perbankan Syariah. Jakarta: PT Bank Syariah Indonesia Tbk.</w:t>
      </w:r>
    </w:p>
    <w:p w:rsidR="005A3044" w:rsidRDefault="00005866">
      <w:pPr>
        <w:spacing w:after="100"/>
      </w:pPr>
      <w:r>
        <w:rPr>
          <w:sz w:val="16"/>
          <w:szCs w:val="16"/>
        </w:rPr>
        <w:t xml:space="preserve">[10] Dede Rodin, Tafsir </w:t>
      </w:r>
      <w:r>
        <w:rPr>
          <w:sz w:val="16"/>
          <w:szCs w:val="16"/>
        </w:rPr>
        <w:t>Ayat Ekonomi. Semarang: UIN Walisongo.</w:t>
      </w:r>
    </w:p>
    <w:p w:rsidR="005A3044" w:rsidRDefault="00005866">
      <w:pPr>
        <w:spacing w:after="100"/>
      </w:pPr>
      <w:r>
        <w:rPr>
          <w:sz w:val="16"/>
          <w:szCs w:val="16"/>
        </w:rPr>
        <w:t>[11] Dewan Syariah Nasional Majelis Ulama Indonesia, Fatwa DSN-MUI No. 03/DSN-MUI/IV/2000 Tentang Deposito. Jakarta: DSN-MUI, 2000.</w:t>
      </w:r>
    </w:p>
    <w:p w:rsidR="005A3044" w:rsidRDefault="00005866">
      <w:pPr>
        <w:spacing w:after="100"/>
      </w:pPr>
      <w:r>
        <w:rPr>
          <w:sz w:val="16"/>
          <w:szCs w:val="16"/>
        </w:rPr>
        <w:t>[12] Dimyauddin Djuwaini, Pengantar Fiqh Muamalah. Yogyakarta: Pustaka Pelajar, 2015.</w:t>
      </w:r>
    </w:p>
    <w:p w:rsidR="005A3044" w:rsidRDefault="00005866">
      <w:pPr>
        <w:spacing w:after="100"/>
      </w:pPr>
      <w:r>
        <w:rPr>
          <w:sz w:val="16"/>
          <w:szCs w:val="16"/>
        </w:rPr>
        <w:t>[13] Fatwa DSN-MUI No. 07/DSN-MUI/IV/2000 Tentang Pembiayaan Mudharabah.</w:t>
      </w:r>
    </w:p>
    <w:p w:rsidR="005A3044" w:rsidRDefault="00005866">
      <w:pPr>
        <w:spacing w:after="100"/>
      </w:pPr>
      <w:r>
        <w:rPr>
          <w:sz w:val="16"/>
          <w:szCs w:val="16"/>
        </w:rPr>
        <w:t>[14] Fatwa DSN-MUI No. 115/DSN-MUI/IX/2017 Tentang Akad Mudharabah.</w:t>
      </w:r>
    </w:p>
    <w:p w:rsidR="005A3044" w:rsidRDefault="00005866">
      <w:pPr>
        <w:spacing w:after="100"/>
      </w:pPr>
      <w:r>
        <w:rPr>
          <w:sz w:val="16"/>
          <w:szCs w:val="16"/>
        </w:rPr>
        <w:t>[15] Fitriana, "Analisis Pencatatan Akuntansi Deposito Mudharabah dan Kesesuaiannya Menurut PSAK No. 105 pada PT B</w:t>
      </w:r>
      <w:r>
        <w:rPr>
          <w:sz w:val="16"/>
          <w:szCs w:val="16"/>
        </w:rPr>
        <w:t>ank Pembiayaan Rakyat Syariah Ampek Angkek Canduang Bukittinggi," Skripsi, 2006.</w:t>
      </w:r>
    </w:p>
    <w:p w:rsidR="005A3044" w:rsidRDefault="00005866">
      <w:pPr>
        <w:spacing w:after="100"/>
      </w:pPr>
      <w:r>
        <w:rPr>
          <w:sz w:val="16"/>
          <w:szCs w:val="16"/>
        </w:rPr>
        <w:t>[16] Sofyan Syafri Harahap, Akuntansi Islam. Jakarta: Bumi Aksara, 2011.</w:t>
      </w:r>
    </w:p>
    <w:p w:rsidR="005A3044" w:rsidRDefault="00005866">
      <w:pPr>
        <w:spacing w:after="100"/>
      </w:pPr>
      <w:r>
        <w:rPr>
          <w:sz w:val="16"/>
          <w:szCs w:val="16"/>
        </w:rPr>
        <w:t>[17] IAI, Standar Akuntansi Keuangan Syariah. Jakarta: Salemba Empat, 2022.</w:t>
      </w:r>
    </w:p>
    <w:p w:rsidR="005A3044" w:rsidRDefault="00005866">
      <w:pPr>
        <w:spacing w:after="100"/>
      </w:pPr>
      <w:r>
        <w:rPr>
          <w:sz w:val="16"/>
          <w:szCs w:val="16"/>
        </w:rPr>
        <w:t>[18] Ikatan Akuntan Indone</w:t>
      </w:r>
      <w:r>
        <w:rPr>
          <w:sz w:val="16"/>
          <w:szCs w:val="16"/>
        </w:rPr>
        <w:t>sia (IAI), Pernyataan Standar Akuntansi Keuangan (PSAK) No. 105 Tentang Akuntansi Mudharabah. Jakarta: Dewan Standar Akuntansi Keuangan IAI, 2007.</w:t>
      </w:r>
    </w:p>
    <w:p w:rsidR="005A3044" w:rsidRDefault="00005866">
      <w:pPr>
        <w:spacing w:after="100"/>
      </w:pPr>
      <w:r>
        <w:rPr>
          <w:sz w:val="16"/>
          <w:szCs w:val="16"/>
        </w:rPr>
        <w:t>[19] Ikatan Akuntan Indonesia (IAI), Pernyataan Standar Akuntansi Keuangan (PSAK) Syariah No. 101–106. Jakart</w:t>
      </w:r>
      <w:r>
        <w:rPr>
          <w:sz w:val="16"/>
          <w:szCs w:val="16"/>
        </w:rPr>
        <w:t>a: IAI, 2007.</w:t>
      </w:r>
    </w:p>
    <w:p w:rsidR="005A3044" w:rsidRDefault="00005866">
      <w:pPr>
        <w:spacing w:after="100"/>
      </w:pPr>
      <w:r>
        <w:rPr>
          <w:sz w:val="16"/>
          <w:szCs w:val="16"/>
        </w:rPr>
        <w:t>[20] Ismail, Perbankan Syariah. Jakarta: Prenadamedia Group, 2016.</w:t>
      </w:r>
    </w:p>
    <w:p w:rsidR="005A3044" w:rsidRDefault="00005866">
      <w:pPr>
        <w:spacing w:after="100"/>
      </w:pPr>
      <w:r>
        <w:rPr>
          <w:sz w:val="16"/>
          <w:szCs w:val="16"/>
        </w:rPr>
        <w:t>[21] Adiwarman A. Karim, Ekonomi Mikro Islam. Jakarta: PT Raja Grafindo Persada, 2015.</w:t>
      </w:r>
    </w:p>
    <w:p w:rsidR="005A3044" w:rsidRDefault="00005866">
      <w:pPr>
        <w:spacing w:after="100"/>
      </w:pPr>
      <w:r>
        <w:rPr>
          <w:sz w:val="16"/>
          <w:szCs w:val="16"/>
        </w:rPr>
        <w:t>[22] Kasmir, Bank dan Lembaga Keuangan Lainnya. Jakarta: PT Raja Grafindo Persada, 2019.</w:t>
      </w:r>
    </w:p>
    <w:p w:rsidR="005A3044" w:rsidRDefault="00005866">
      <w:pPr>
        <w:spacing w:after="100"/>
      </w:pPr>
      <w:r>
        <w:rPr>
          <w:sz w:val="16"/>
          <w:szCs w:val="16"/>
        </w:rPr>
        <w:t>[23] Kementerian Agama Republik Indonesia, Al-Qur’anul Karim dan Tajwid. Surakarta: Az-Ziyadah, 2014.</w:t>
      </w:r>
    </w:p>
    <w:p w:rsidR="005A3044" w:rsidRDefault="00005866">
      <w:pPr>
        <w:spacing w:after="100"/>
      </w:pPr>
      <w:r>
        <w:rPr>
          <w:sz w:val="16"/>
          <w:szCs w:val="16"/>
        </w:rPr>
        <w:t>[24] Lestari, "Analisis Pengakuan dan Pengukuran Deposito Mudharabah pada PT. Bank Pembiayaan Rakyat Syariah Berkah Dana Fadhilah Air Tiris Kampar," Skri</w:t>
      </w:r>
      <w:r>
        <w:rPr>
          <w:sz w:val="16"/>
          <w:szCs w:val="16"/>
        </w:rPr>
        <w:t>psi, 2007.</w:t>
      </w:r>
    </w:p>
    <w:p w:rsidR="005A3044" w:rsidRDefault="00005866">
      <w:pPr>
        <w:spacing w:after="100"/>
      </w:pPr>
      <w:r>
        <w:rPr>
          <w:sz w:val="16"/>
          <w:szCs w:val="16"/>
        </w:rPr>
        <w:t>[25] Mardani, Hukum Perbankan Syariah di Indonesia. Jakarta: Kencana, 2015.</w:t>
      </w:r>
    </w:p>
    <w:p w:rsidR="005A3044" w:rsidRDefault="00005866">
      <w:pPr>
        <w:spacing w:after="100"/>
      </w:pPr>
      <w:r>
        <w:rPr>
          <w:sz w:val="16"/>
          <w:szCs w:val="16"/>
        </w:rPr>
        <w:t xml:space="preserve">[26] R. Maulidia and A. Pratama, "Penerapan PSAK 105 dalam Pengakuan dan Pengukuran Investasi Mudharabah pada Perbankan Syariah di Indonesia," Jurnal Akuntansi Syariah, </w:t>
      </w:r>
      <w:r>
        <w:rPr>
          <w:sz w:val="16"/>
          <w:szCs w:val="16"/>
        </w:rPr>
        <w:t>vol. 8, no. 2, pp. 112–125, 2021.</w:t>
      </w:r>
    </w:p>
    <w:p w:rsidR="005A3044" w:rsidRDefault="00005866">
      <w:pPr>
        <w:spacing w:after="100"/>
      </w:pPr>
      <w:r>
        <w:rPr>
          <w:sz w:val="16"/>
          <w:szCs w:val="16"/>
        </w:rPr>
        <w:t>[27] Muhammad, Manajemen Bank Syariah. Yogyakarta: UPP AMP YKPN, 2005.</w:t>
      </w:r>
    </w:p>
    <w:p w:rsidR="005A3044" w:rsidRDefault="00005866">
      <w:pPr>
        <w:spacing w:after="100"/>
      </w:pPr>
      <w:r>
        <w:rPr>
          <w:sz w:val="16"/>
          <w:szCs w:val="16"/>
        </w:rPr>
        <w:t>[28] Muhammad Syafi’i Antonio, Prinsip Dasar Operasi Bank Syariah. Jakarta: Gema Insani Press, 2001.</w:t>
      </w:r>
    </w:p>
    <w:p w:rsidR="005A3044" w:rsidRDefault="00005866">
      <w:pPr>
        <w:spacing w:after="100"/>
      </w:pPr>
      <w:r>
        <w:rPr>
          <w:sz w:val="16"/>
          <w:szCs w:val="16"/>
        </w:rPr>
        <w:t>[29] Sri Nurhayati and Wasilah, Akuntansi Syariah di Indonesia. Jakarta: Salemba Empat, 2019.</w:t>
      </w:r>
    </w:p>
    <w:p w:rsidR="005A3044" w:rsidRDefault="00005866">
      <w:pPr>
        <w:spacing w:after="100"/>
      </w:pPr>
      <w:r>
        <w:rPr>
          <w:sz w:val="16"/>
          <w:szCs w:val="16"/>
        </w:rPr>
        <w:t>[30] OCBC NISP, "Deposito Mudharabah: Pengertian, Cara Kerja, dan Keuntungannya," Dec. 14, 2022.</w:t>
      </w:r>
    </w:p>
    <w:p w:rsidR="005A3044" w:rsidRDefault="00005866">
      <w:pPr>
        <w:spacing w:after="100"/>
      </w:pPr>
      <w:r>
        <w:rPr>
          <w:sz w:val="16"/>
          <w:szCs w:val="16"/>
        </w:rPr>
        <w:t>[31] Otoritas Jasa Keuangan (OJK), Perbankan Syariah dan Kelembag</w:t>
      </w:r>
      <w:r>
        <w:rPr>
          <w:sz w:val="16"/>
          <w:szCs w:val="16"/>
        </w:rPr>
        <w:t>aannya. Jakarta: OJK, 2023.</w:t>
      </w:r>
    </w:p>
    <w:p w:rsidR="005A3044" w:rsidRDefault="00005866">
      <w:pPr>
        <w:spacing w:after="100"/>
      </w:pPr>
      <w:r>
        <w:rPr>
          <w:sz w:val="16"/>
          <w:szCs w:val="16"/>
        </w:rPr>
        <w:t>[32] Otoritas Jasa Keuangan, Statistik Perbankan Syariah Indonesia Tahun 2024. Jakarta: OJK.</w:t>
      </w:r>
    </w:p>
    <w:p w:rsidR="005A3044" w:rsidRDefault="00005866">
      <w:pPr>
        <w:spacing w:after="100"/>
      </w:pPr>
      <w:r>
        <w:rPr>
          <w:sz w:val="16"/>
          <w:szCs w:val="16"/>
        </w:rPr>
        <w:t>[33] PSAK 101 Tentang Penyajian Laporan Keuangan Syariah. Jakarta: Ikatan Akuntan Indonesia.</w:t>
      </w:r>
    </w:p>
    <w:p w:rsidR="005A3044" w:rsidRDefault="00005866">
      <w:pPr>
        <w:spacing w:after="100"/>
      </w:pPr>
      <w:r>
        <w:rPr>
          <w:sz w:val="16"/>
          <w:szCs w:val="16"/>
        </w:rPr>
        <w:t>[34] PSAK 102 Tentang Akuntansi Murabahah.</w:t>
      </w:r>
      <w:r>
        <w:rPr>
          <w:sz w:val="16"/>
          <w:szCs w:val="16"/>
        </w:rPr>
        <w:t xml:space="preserve"> Jakarta: Ikatan Akuntan Indonesia.</w:t>
      </w:r>
    </w:p>
    <w:p w:rsidR="005A3044" w:rsidRDefault="00005866">
      <w:pPr>
        <w:spacing w:after="100"/>
      </w:pPr>
      <w:r>
        <w:rPr>
          <w:sz w:val="16"/>
          <w:szCs w:val="16"/>
        </w:rPr>
        <w:t>[35] PSAK 105 Tentang Akuntansi Mudharabah. Jakarta: Ikatan Akuntan Indonesia.</w:t>
      </w:r>
    </w:p>
    <w:p w:rsidR="005A3044" w:rsidRDefault="00005866">
      <w:pPr>
        <w:spacing w:after="100"/>
      </w:pPr>
      <w:r>
        <w:rPr>
          <w:sz w:val="16"/>
          <w:szCs w:val="16"/>
        </w:rPr>
        <w:t>[36] Veithzal Rivai and Arviyan Arifin, Islamic Banking: Sistem Bank Islam Bukan Hanya Solusi Menghadapi Krisis Namun Solusi dalam Menghadapi</w:t>
      </w:r>
      <w:r>
        <w:rPr>
          <w:sz w:val="16"/>
          <w:szCs w:val="16"/>
        </w:rPr>
        <w:t xml:space="preserve"> Berbagai Persoalan Perbankan dan Ekonomi Global. Jakarta: Bumi Aksara, 2010.</w:t>
      </w:r>
    </w:p>
    <w:sectPr w:rsidR="005A3044">
      <w:headerReference w:type="default" r:id="rId8"/>
      <w:footerReference w:type="default" r:id="rId9"/>
      <w:headerReference w:type="first" r:id="rId10"/>
      <w:footerReference w:type="first" r:id="rId11"/>
      <w:pgSz w:w="11907" w:h="16840"/>
      <w:pgMar w:top="1418" w:right="1418" w:bottom="1418"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866" w:rsidRDefault="00005866">
      <w:r>
        <w:separator/>
      </w:r>
    </w:p>
  </w:endnote>
  <w:endnote w:type="continuationSeparator" w:id="0">
    <w:p w:rsidR="00005866" w:rsidRDefault="0000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044" w:rsidRDefault="00005866" w:rsidP="00CC0047">
    <w:pPr>
      <w:pBdr>
        <w:top w:val="single" w:sz="4" w:space="0" w:color="000000"/>
      </w:pBdr>
      <w:spacing w:before="60"/>
    </w:pPr>
    <w:r>
      <w:rPr>
        <w:i/>
        <w:iCs/>
        <w:sz w:val="16"/>
        <w:szCs w:val="16"/>
      </w:rPr>
      <w:t xml:space="preserve">TANJAK; Jurnal Tinjauan Syariah, Vol. x, No. x, </w:t>
    </w:r>
    <w:r w:rsidR="00CC0047">
      <w:rPr>
        <w:i/>
        <w:iCs/>
        <w:sz w:val="16"/>
        <w:szCs w:val="16"/>
      </w:rPr>
      <w:t>Desember 2025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044" w:rsidRDefault="00005866" w:rsidP="00CC0047">
    <w:pPr>
      <w:pBdr>
        <w:top w:val="single" w:sz="4" w:space="0" w:color="000000"/>
      </w:pBdr>
      <w:spacing w:before="60"/>
    </w:pPr>
    <w:r>
      <w:rPr>
        <w:i/>
        <w:iCs/>
        <w:sz w:val="16"/>
        <w:szCs w:val="16"/>
      </w:rPr>
      <w:t xml:space="preserve">TANJAK; Jurnal Tinjauan Syariah, Vol. x, No. x, </w:t>
    </w:r>
    <w:r w:rsidR="00CC0047">
      <w:rPr>
        <w:i/>
        <w:iCs/>
        <w:sz w:val="16"/>
        <w:szCs w:val="16"/>
      </w:rPr>
      <w:t>Desember 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866" w:rsidRDefault="00005866">
      <w:r>
        <w:separator/>
      </w:r>
    </w:p>
  </w:footnote>
  <w:footnote w:type="continuationSeparator" w:id="0">
    <w:p w:rsidR="00005866" w:rsidRDefault="00005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91"/>
      <w:gridCol w:w="2197"/>
    </w:tblGrid>
    <w:tr w:rsidR="005A3044">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CC0047" w:rsidRDefault="00CC0047" w:rsidP="00CC0047">
          <w:r>
            <w:rPr>
              <w:b/>
              <w:bCs/>
              <w:sz w:val="18"/>
              <w:szCs w:val="18"/>
            </w:rPr>
            <w:t>TANJAK; Jurnal Tinjauan Syariah</w:t>
          </w:r>
        </w:p>
        <w:p w:rsidR="00CC0047" w:rsidRDefault="00CC0047" w:rsidP="00CC0047">
          <w:r>
            <w:rPr>
              <w:sz w:val="18"/>
              <w:szCs w:val="18"/>
            </w:rPr>
            <w:t xml:space="preserve">Vol. x, No. x, Bulan </w:t>
          </w:r>
          <w:r>
            <w:rPr>
              <w:sz w:val="18"/>
              <w:szCs w:val="18"/>
            </w:rPr>
            <w:t>Desember 2025</w:t>
          </w:r>
        </w:p>
        <w:p w:rsidR="005A3044" w:rsidRDefault="00CC0047" w:rsidP="00CC0047">
          <w:r>
            <w:rPr>
              <w:sz w:val="18"/>
              <w:szCs w:val="18"/>
            </w:rPr>
            <w:t>ISSN: xxxx-xxxx, DOI: 10.xxxxx/tanjak.vxix.paperID</w:t>
          </w:r>
        </w:p>
      </w:tc>
      <w:tc>
        <w:tcPr>
          <w:tcW w:w="1250" w:type="pct"/>
          <w:tcBorders>
            <w:top w:val="none" w:sz="0" w:space="0" w:color="FFFFFF"/>
            <w:left w:val="none" w:sz="0" w:space="0" w:color="FFFFFF"/>
            <w:bottom w:val="single" w:sz="4" w:space="0" w:color="000000"/>
            <w:right w:val="none" w:sz="0" w:space="0" w:color="FFFFFF"/>
          </w:tcBorders>
          <w:vAlign w:val="bottom"/>
        </w:tcPr>
        <w:p w:rsidR="005A3044" w:rsidRDefault="00005866">
          <w:pPr>
            <w:jc w:val="right"/>
          </w:pPr>
          <w:r>
            <w:rPr>
              <w:sz w:val="18"/>
              <w:szCs w:val="18"/>
            </w:rPr>
            <w:fldChar w:fldCharType="begin"/>
          </w:r>
          <w:r>
            <w:rPr>
              <w:sz w:val="18"/>
              <w:szCs w:val="18"/>
            </w:rPr>
            <w:instrText>PAGE</w:instrText>
          </w:r>
          <w:r w:rsidR="00CC0047">
            <w:rPr>
              <w:sz w:val="18"/>
              <w:szCs w:val="18"/>
            </w:rPr>
            <w:fldChar w:fldCharType="separate"/>
          </w:r>
          <w:r w:rsidR="00CC0047">
            <w:rPr>
              <w:noProof/>
              <w:sz w:val="18"/>
              <w:szCs w:val="18"/>
            </w:rPr>
            <w:t>2</w:t>
          </w:r>
          <w:r>
            <w:rPr>
              <w:sz w:val="18"/>
              <w:szCs w:val="18"/>
            </w:rPr>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91"/>
      <w:gridCol w:w="2197"/>
    </w:tblGrid>
    <w:tr w:rsidR="005A3044">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5A3044" w:rsidRDefault="00005866">
          <w:r>
            <w:rPr>
              <w:b/>
              <w:bCs/>
              <w:sz w:val="18"/>
              <w:szCs w:val="18"/>
            </w:rPr>
            <w:t>TANJAK; Jurnal Tinjauan Syariah</w:t>
          </w:r>
        </w:p>
        <w:p w:rsidR="005A3044" w:rsidRDefault="00005866">
          <w:r>
            <w:rPr>
              <w:sz w:val="18"/>
              <w:szCs w:val="18"/>
            </w:rPr>
            <w:t>Vol. x, No. x, Bulan 20xx, pp. xx-xx</w:t>
          </w:r>
        </w:p>
        <w:p w:rsidR="005A3044" w:rsidRDefault="00005866">
          <w:r>
            <w:rPr>
              <w:sz w:val="18"/>
              <w:szCs w:val="18"/>
            </w:rPr>
            <w:t>ISSN: xxxx-xxxx, DOI: 10.xxxxx/tanjak.vxix.paperID</w:t>
          </w:r>
        </w:p>
      </w:tc>
      <w:tc>
        <w:tcPr>
          <w:tcW w:w="1250" w:type="pct"/>
          <w:tcBorders>
            <w:top w:val="none" w:sz="0" w:space="0" w:color="FFFFFF"/>
            <w:left w:val="none" w:sz="0" w:space="0" w:color="FFFFFF"/>
            <w:bottom w:val="single" w:sz="4" w:space="0" w:color="000000"/>
            <w:right w:val="none" w:sz="0" w:space="0" w:color="FFFFFF"/>
          </w:tcBorders>
          <w:vAlign w:val="bottom"/>
        </w:tcPr>
        <w:p w:rsidR="005A3044" w:rsidRDefault="00005866">
          <w:pPr>
            <w:jc w:val="right"/>
          </w:pPr>
          <w:r>
            <w:rPr>
              <w:sz w:val="18"/>
              <w:szCs w:val="18"/>
            </w:rPr>
            <w:fldChar w:fldCharType="begin"/>
          </w:r>
          <w:r>
            <w:rPr>
              <w:sz w:val="18"/>
              <w:szCs w:val="18"/>
            </w:rPr>
            <w:instrText>PAGE</w:instrText>
          </w:r>
          <w:r w:rsidR="00CC0047">
            <w:rPr>
              <w:sz w:val="18"/>
              <w:szCs w:val="18"/>
            </w:rPr>
            <w:fldChar w:fldCharType="separate"/>
          </w:r>
          <w:r w:rsidR="00CC0047">
            <w:rPr>
              <w:noProof/>
              <w:sz w:val="18"/>
              <w:szCs w:val="18"/>
            </w:rPr>
            <w:t>1</w:t>
          </w:r>
          <w:r>
            <w:rPr>
              <w:sz w:val="18"/>
              <w:szCs w:val="18"/>
            </w:rPr>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DD2538"/>
    <w:multiLevelType w:val="hybridMultilevel"/>
    <w:tmpl w:val="17D6B464"/>
    <w:lvl w:ilvl="0" w:tplc="CE6E0FAA">
      <w:start w:val="1"/>
      <w:numFmt w:val="bullet"/>
      <w:lvlText w:val="●"/>
      <w:lvlJc w:val="left"/>
      <w:pPr>
        <w:ind w:left="720" w:hanging="360"/>
      </w:pPr>
    </w:lvl>
    <w:lvl w:ilvl="1" w:tplc="36444422">
      <w:start w:val="1"/>
      <w:numFmt w:val="bullet"/>
      <w:lvlText w:val="○"/>
      <w:lvlJc w:val="left"/>
      <w:pPr>
        <w:ind w:left="1440" w:hanging="360"/>
      </w:pPr>
    </w:lvl>
    <w:lvl w:ilvl="2" w:tplc="5DCE3560">
      <w:start w:val="1"/>
      <w:numFmt w:val="bullet"/>
      <w:lvlText w:val="■"/>
      <w:lvlJc w:val="left"/>
      <w:pPr>
        <w:ind w:left="2160" w:hanging="360"/>
      </w:pPr>
    </w:lvl>
    <w:lvl w:ilvl="3" w:tplc="10444DF8">
      <w:start w:val="1"/>
      <w:numFmt w:val="bullet"/>
      <w:lvlText w:val="●"/>
      <w:lvlJc w:val="left"/>
      <w:pPr>
        <w:ind w:left="2880" w:hanging="360"/>
      </w:pPr>
    </w:lvl>
    <w:lvl w:ilvl="4" w:tplc="A7D8A0CC">
      <w:start w:val="1"/>
      <w:numFmt w:val="bullet"/>
      <w:lvlText w:val="○"/>
      <w:lvlJc w:val="left"/>
      <w:pPr>
        <w:ind w:left="3600" w:hanging="360"/>
      </w:pPr>
    </w:lvl>
    <w:lvl w:ilvl="5" w:tplc="57E43C48">
      <w:start w:val="1"/>
      <w:numFmt w:val="bullet"/>
      <w:lvlText w:val="■"/>
      <w:lvlJc w:val="left"/>
      <w:pPr>
        <w:ind w:left="4320" w:hanging="360"/>
      </w:pPr>
    </w:lvl>
    <w:lvl w:ilvl="6" w:tplc="EDCAFAE6">
      <w:start w:val="1"/>
      <w:numFmt w:val="bullet"/>
      <w:lvlText w:val="●"/>
      <w:lvlJc w:val="left"/>
      <w:pPr>
        <w:ind w:left="5040" w:hanging="360"/>
      </w:pPr>
    </w:lvl>
    <w:lvl w:ilvl="7" w:tplc="EFD095E6">
      <w:start w:val="1"/>
      <w:numFmt w:val="bullet"/>
      <w:lvlText w:val="●"/>
      <w:lvlJc w:val="left"/>
      <w:pPr>
        <w:ind w:left="5760" w:hanging="360"/>
      </w:pPr>
    </w:lvl>
    <w:lvl w:ilvl="8" w:tplc="0B08A2D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44"/>
    <w:rsid w:val="00005866"/>
    <w:rsid w:val="005A3044"/>
    <w:rsid w:val="00CC00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1C3D28-3CA8-40FC-9ECE-28ACFE1BE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C0047"/>
    <w:pPr>
      <w:tabs>
        <w:tab w:val="center" w:pos="4680"/>
        <w:tab w:val="right" w:pos="9360"/>
      </w:tabs>
    </w:pPr>
  </w:style>
  <w:style w:type="character" w:customStyle="1" w:styleId="HeaderChar">
    <w:name w:val="Header Char"/>
    <w:basedOn w:val="DefaultParagraphFont"/>
    <w:link w:val="Header"/>
    <w:uiPriority w:val="99"/>
    <w:rsid w:val="00CC0047"/>
  </w:style>
  <w:style w:type="paragraph" w:styleId="Footer">
    <w:name w:val="footer"/>
    <w:basedOn w:val="Normal"/>
    <w:link w:val="FooterChar"/>
    <w:uiPriority w:val="99"/>
    <w:unhideWhenUsed/>
    <w:rsid w:val="00CC0047"/>
    <w:pPr>
      <w:tabs>
        <w:tab w:val="center" w:pos="4680"/>
        <w:tab w:val="right" w:pos="9360"/>
      </w:tabs>
    </w:pPr>
  </w:style>
  <w:style w:type="character" w:customStyle="1" w:styleId="FooterChar">
    <w:name w:val="Footer Char"/>
    <w:basedOn w:val="DefaultParagraphFont"/>
    <w:link w:val="Footer"/>
    <w:uiPriority w:val="99"/>
    <w:rsid w:val="00CC0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issafiabarakah@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3441</Words>
  <Characters>19620</Characters>
  <Application>Microsoft Office Word</Application>
  <DocSecurity>0</DocSecurity>
  <Lines>163</Lines>
  <Paragraphs>46</Paragraphs>
  <ScaleCrop>false</ScaleCrop>
  <Company/>
  <LinksUpToDate>false</LinksUpToDate>
  <CharactersWithSpaces>23015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cp:revision>
  <dcterms:created xsi:type="dcterms:W3CDTF">2026-09-14T22:59:00Z</dcterms:created>
  <dcterms:modified xsi:type="dcterms:W3CDTF">2026-09-14T23:05:00Z</dcterms:modified>
</cp:coreProperties>
</file>