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4BDC" w:rsidRDefault="007F3D57">
      <w:pPr>
        <w:spacing w:after="200"/>
        <w:jc w:val="center"/>
      </w:pPr>
      <w:r>
        <w:rPr>
          <w:b/>
          <w:bCs/>
          <w:sz w:val="32"/>
          <w:szCs w:val="32"/>
        </w:rPr>
        <w:t>Pengaruh Rasio Keuangan terhadap Perubahan Laba pada Perusahaan Manufaktur di Bursa Efek Indonesia: Perspektif Syariah</w:t>
      </w:r>
    </w:p>
    <w:p w:rsidR="004B4BDC" w:rsidRDefault="007F3D57">
      <w:pPr>
        <w:spacing w:after="60"/>
        <w:jc w:val="center"/>
      </w:pPr>
      <w:r>
        <w:rPr>
          <w:b/>
          <w:bCs/>
        </w:rPr>
        <w:t>Tiara Balitesa</w:t>
      </w:r>
      <w:r w:rsidR="004B29D7" w:rsidRPr="004B29D7">
        <w:rPr>
          <w:b/>
          <w:bCs/>
          <w:vertAlign w:val="superscript"/>
        </w:rPr>
        <w:t>1</w:t>
      </w:r>
      <w:r w:rsidR="004B29D7">
        <w:rPr>
          <w:b/>
          <w:bCs/>
        </w:rPr>
        <w:t xml:space="preserve"> Bambang Irawan</w:t>
      </w:r>
      <w:r w:rsidR="004B29D7" w:rsidRPr="004B29D7">
        <w:rPr>
          <w:b/>
          <w:bCs/>
          <w:vertAlign w:val="superscript"/>
        </w:rPr>
        <w:t>2</w:t>
      </w:r>
    </w:p>
    <w:p w:rsidR="004B4BDC" w:rsidRDefault="007F3D57">
      <w:pPr>
        <w:spacing w:after="300"/>
        <w:jc w:val="center"/>
      </w:pPr>
      <w:r>
        <w:rPr>
          <w:i/>
          <w:iCs/>
          <w:sz w:val="16"/>
          <w:szCs w:val="16"/>
        </w:rPr>
        <w:t>Program Studi Akuntansi Syariah, Fakultas Syariah dan Ekonomi Islam, Institut Agama Islam Negeri (IAIN) Datuk Laksemana Bengkalis, Indonesia</w:t>
      </w:r>
    </w:p>
    <w:tbl>
      <w:tblPr>
        <w:tblW w:w="10032" w:type="dxa"/>
        <w:tblInd w:w="-10" w:type="dxa"/>
        <w:tblBorders>
          <w:top w:val="single" w:sz="6" w:space="0" w:color="auto"/>
          <w:bottom w:val="single" w:sz="6" w:space="0" w:color="auto"/>
        </w:tblBorders>
        <w:tblCellMar>
          <w:left w:w="10" w:type="dxa"/>
          <w:right w:w="10" w:type="dxa"/>
        </w:tblCellMar>
        <w:tblLook w:val="0000" w:firstRow="0" w:lastRow="0" w:firstColumn="0" w:lastColumn="0" w:noHBand="0" w:noVBand="0"/>
      </w:tblPr>
      <w:tblGrid>
        <w:gridCol w:w="3200"/>
        <w:gridCol w:w="6832"/>
      </w:tblGrid>
      <w:tr w:rsidR="004B4BDC">
        <w:tblPrEx>
          <w:tblCellMar>
            <w:top w:w="0" w:type="dxa"/>
            <w:bottom w:w="0" w:type="dxa"/>
          </w:tblCellMar>
        </w:tblPrEx>
        <w:tc>
          <w:tcPr>
            <w:tcW w:w="3200" w:type="dxa"/>
          </w:tcPr>
          <w:p w:rsidR="004B4BDC" w:rsidRDefault="007F3D57">
            <w:pPr>
              <w:spacing w:after="100"/>
            </w:pPr>
            <w:r>
              <w:rPr>
                <w:b/>
                <w:bCs/>
                <w:sz w:val="18"/>
                <w:szCs w:val="18"/>
              </w:rPr>
              <w:t>Article Info</w:t>
            </w:r>
          </w:p>
          <w:p w:rsidR="004B4BDC" w:rsidRDefault="007F3D57">
            <w:pPr>
              <w:spacing w:after="60"/>
            </w:pPr>
            <w:r>
              <w:rPr>
                <w:b/>
                <w:bCs/>
                <w:i/>
                <w:iCs/>
                <w:sz w:val="18"/>
                <w:szCs w:val="18"/>
              </w:rPr>
              <w:t>Article history:</w:t>
            </w:r>
          </w:p>
          <w:p w:rsidR="004B29D7" w:rsidRDefault="004B29D7">
            <w:pPr>
              <w:spacing w:after="60"/>
              <w:rPr>
                <w:sz w:val="18"/>
                <w:szCs w:val="18"/>
              </w:rPr>
            </w:pPr>
          </w:p>
          <w:p w:rsidR="004B29D7" w:rsidRDefault="004B29D7">
            <w:pPr>
              <w:spacing w:after="60"/>
              <w:rPr>
                <w:sz w:val="18"/>
                <w:szCs w:val="18"/>
              </w:rPr>
            </w:pPr>
          </w:p>
          <w:p w:rsidR="004B29D7" w:rsidRDefault="004B29D7">
            <w:pPr>
              <w:spacing w:after="60"/>
              <w:rPr>
                <w:sz w:val="18"/>
                <w:szCs w:val="18"/>
              </w:rPr>
            </w:pPr>
          </w:p>
          <w:p w:rsidR="004B4BDC" w:rsidRDefault="007F3D57">
            <w:pPr>
              <w:spacing w:after="60"/>
            </w:pPr>
            <w:r>
              <w:rPr>
                <w:b/>
                <w:bCs/>
                <w:i/>
                <w:iCs/>
                <w:sz w:val="18"/>
                <w:szCs w:val="18"/>
              </w:rPr>
              <w:t>Keywords:</w:t>
            </w:r>
          </w:p>
          <w:p w:rsidR="004B4BDC" w:rsidRDefault="007F3D57">
            <w:r>
              <w:rPr>
                <w:i/>
                <w:iCs/>
                <w:sz w:val="18"/>
                <w:szCs w:val="18"/>
              </w:rPr>
              <w:t>Financial Rat</w:t>
            </w:r>
            <w:r>
              <w:rPr>
                <w:i/>
                <w:iCs/>
                <w:sz w:val="18"/>
                <w:szCs w:val="18"/>
              </w:rPr>
              <w:t>ios</w:t>
            </w:r>
          </w:p>
          <w:p w:rsidR="004B4BDC" w:rsidRDefault="007F3D57">
            <w:r>
              <w:rPr>
                <w:i/>
                <w:iCs/>
                <w:sz w:val="18"/>
                <w:szCs w:val="18"/>
              </w:rPr>
              <w:t>Profit Changes</w:t>
            </w:r>
          </w:p>
          <w:p w:rsidR="004B4BDC" w:rsidRDefault="007F3D57">
            <w:r>
              <w:rPr>
                <w:i/>
                <w:iCs/>
                <w:sz w:val="18"/>
                <w:szCs w:val="18"/>
              </w:rPr>
              <w:t>Manufacturing Companies</w:t>
            </w:r>
          </w:p>
          <w:p w:rsidR="004B4BDC" w:rsidRDefault="007F3D57">
            <w:r>
              <w:rPr>
                <w:i/>
                <w:iCs/>
                <w:sz w:val="18"/>
                <w:szCs w:val="18"/>
              </w:rPr>
              <w:t>Sharia Perspective</w:t>
            </w:r>
          </w:p>
        </w:tc>
        <w:tc>
          <w:tcPr>
            <w:tcW w:w="6832" w:type="dxa"/>
          </w:tcPr>
          <w:p w:rsidR="004B4BDC" w:rsidRDefault="007F3D57">
            <w:pPr>
              <w:spacing w:after="100"/>
            </w:pPr>
            <w:r>
              <w:rPr>
                <w:b/>
                <w:bCs/>
                <w:sz w:val="18"/>
                <w:szCs w:val="18"/>
              </w:rPr>
              <w:t>ABSTRACT</w:t>
            </w:r>
          </w:p>
          <w:p w:rsidR="004B4BDC" w:rsidRDefault="007F3D57">
            <w:pPr>
              <w:spacing w:after="120"/>
              <w:jc w:val="both"/>
            </w:pPr>
            <w:r>
              <w:rPr>
                <w:sz w:val="18"/>
                <w:szCs w:val="18"/>
              </w:rPr>
              <w:t>Fluctuations in profit changes at manufacturing companies listed on the Indonesia Stock Exchange (IDX) result from financial performance dynamics influenced by various financial ratios.</w:t>
            </w:r>
            <w:r>
              <w:rPr>
                <w:sz w:val="18"/>
                <w:szCs w:val="18"/>
              </w:rPr>
              <w:t xml:space="preserve"> This study analyzes the influence of Current Ratio (CR), Debt to Equity Ratio (DER), Total Asset Turnover (TATO), and Net Profit Margin (NPM) on profit changes in manufacturing companies during 2020-2023 from a sharia perspective. Using a quantitative app</w:t>
            </w:r>
            <w:r>
              <w:rPr>
                <w:sz w:val="18"/>
                <w:szCs w:val="18"/>
              </w:rPr>
              <w:t>roach with panel data from 30 manufacturing companies (sample of 11 companies through purposive sampling), this research applies panel data regression analysis via Eviews 13. Results show that Net Profit Margin has a significant partial effect on profit ch</w:t>
            </w:r>
            <w:r>
              <w:rPr>
                <w:sz w:val="18"/>
                <w:szCs w:val="18"/>
              </w:rPr>
              <w:t>anges (p=0.003), while CR, DER, and TATO have no significant effect. Simultaneously, all four variables significantly influence profit changes. This finding indicates that operational profitability is a primary determinant of profit changes in manufacturin</w:t>
            </w:r>
            <w:r>
              <w:rPr>
                <w:sz w:val="18"/>
                <w:szCs w:val="18"/>
              </w:rPr>
              <w:t>g companies. From a sharia perspective, the study confirms that profits obtained from efficient and halal business activities are important considerations for Muslim investors in assessing company performance.</w:t>
            </w:r>
          </w:p>
          <w:p w:rsidR="004B4BDC" w:rsidRDefault="004B4BDC">
            <w:pPr>
              <w:spacing w:after="80"/>
              <w:jc w:val="both"/>
            </w:pPr>
          </w:p>
        </w:tc>
      </w:tr>
    </w:tbl>
    <w:p w:rsidR="004B4BDC" w:rsidRDefault="004B4BDC">
      <w:pPr>
        <w:spacing w:after="150"/>
      </w:pPr>
    </w:p>
    <w:tbl>
      <w:tblPr>
        <w:tblW w:w="10032" w:type="dxa"/>
        <w:tblInd w:w="-10" w:type="dxa"/>
        <w:tblBorders>
          <w:bottom w:val="single" w:sz="6" w:space="0" w:color="auto"/>
        </w:tblBorders>
        <w:tblCellMar>
          <w:left w:w="10" w:type="dxa"/>
          <w:right w:w="10" w:type="dxa"/>
        </w:tblCellMar>
        <w:tblLook w:val="0000" w:firstRow="0" w:lastRow="0" w:firstColumn="0" w:lastColumn="0" w:noHBand="0" w:noVBand="0"/>
      </w:tblPr>
      <w:tblGrid>
        <w:gridCol w:w="3200"/>
        <w:gridCol w:w="6832"/>
      </w:tblGrid>
      <w:tr w:rsidR="004B4BDC">
        <w:tblPrEx>
          <w:tblCellMar>
            <w:top w:w="0" w:type="dxa"/>
            <w:bottom w:w="0" w:type="dxa"/>
          </w:tblCellMar>
        </w:tblPrEx>
        <w:tc>
          <w:tcPr>
            <w:tcW w:w="3200" w:type="dxa"/>
          </w:tcPr>
          <w:p w:rsidR="004B4BDC" w:rsidRDefault="007F3D57">
            <w:pPr>
              <w:spacing w:after="60"/>
            </w:pPr>
            <w:r>
              <w:rPr>
                <w:b/>
                <w:bCs/>
                <w:i/>
                <w:iCs/>
                <w:sz w:val="18"/>
                <w:szCs w:val="18"/>
              </w:rPr>
              <w:t>Kata Kunci:</w:t>
            </w:r>
          </w:p>
          <w:p w:rsidR="004B4BDC" w:rsidRDefault="007F3D57">
            <w:r>
              <w:rPr>
                <w:i/>
                <w:iCs/>
                <w:sz w:val="18"/>
                <w:szCs w:val="18"/>
              </w:rPr>
              <w:t>Rasio Keuangan</w:t>
            </w:r>
          </w:p>
          <w:p w:rsidR="004B4BDC" w:rsidRDefault="007F3D57">
            <w:r>
              <w:rPr>
                <w:i/>
                <w:iCs/>
                <w:sz w:val="18"/>
                <w:szCs w:val="18"/>
              </w:rPr>
              <w:t>Perubahan Laba</w:t>
            </w:r>
          </w:p>
          <w:p w:rsidR="004B4BDC" w:rsidRDefault="007F3D57">
            <w:r>
              <w:rPr>
                <w:i/>
                <w:iCs/>
                <w:sz w:val="18"/>
                <w:szCs w:val="18"/>
              </w:rPr>
              <w:t>Perusahaan Manufaktur</w:t>
            </w:r>
          </w:p>
          <w:p w:rsidR="004B4BDC" w:rsidRDefault="007F3D57">
            <w:r>
              <w:rPr>
                <w:i/>
                <w:iCs/>
                <w:sz w:val="18"/>
                <w:szCs w:val="18"/>
              </w:rPr>
              <w:t>Perspektif Syariah</w:t>
            </w:r>
          </w:p>
        </w:tc>
        <w:tc>
          <w:tcPr>
            <w:tcW w:w="6832" w:type="dxa"/>
          </w:tcPr>
          <w:p w:rsidR="004B4BDC" w:rsidRDefault="007F3D57">
            <w:pPr>
              <w:spacing w:after="100"/>
            </w:pPr>
            <w:r>
              <w:rPr>
                <w:b/>
                <w:bCs/>
                <w:sz w:val="18"/>
                <w:szCs w:val="18"/>
              </w:rPr>
              <w:t>Abstrak</w:t>
            </w:r>
          </w:p>
          <w:p w:rsidR="004B4BDC" w:rsidRDefault="007F3D57">
            <w:pPr>
              <w:spacing w:after="100"/>
              <w:jc w:val="both"/>
            </w:pPr>
            <w:r>
              <w:rPr>
                <w:sz w:val="18"/>
                <w:szCs w:val="18"/>
              </w:rPr>
              <w:t xml:space="preserve">Fluktuasi perubahan laba pada perusahaan manufaktur di Bursa Efek Indonesia merupakan konsekuensi dari dinamika kinerja keuangan yang dipengaruhi oleh berbagai rasio keuangan. Penelitian ini menganalisis pengaruh </w:t>
            </w:r>
            <w:r>
              <w:rPr>
                <w:i/>
                <w:iCs/>
                <w:sz w:val="18"/>
                <w:szCs w:val="18"/>
              </w:rPr>
              <w:t>Current Ratio</w:t>
            </w:r>
            <w:r>
              <w:rPr>
                <w:sz w:val="18"/>
                <w:szCs w:val="18"/>
              </w:rPr>
              <w:t xml:space="preserve"> (CR), </w:t>
            </w:r>
            <w:r>
              <w:rPr>
                <w:i/>
                <w:iCs/>
                <w:sz w:val="18"/>
                <w:szCs w:val="18"/>
              </w:rPr>
              <w:t>Debt to Equity Ratio</w:t>
            </w:r>
            <w:r>
              <w:rPr>
                <w:sz w:val="18"/>
                <w:szCs w:val="18"/>
              </w:rPr>
              <w:t xml:space="preserve"> (D</w:t>
            </w:r>
            <w:r>
              <w:rPr>
                <w:sz w:val="18"/>
                <w:szCs w:val="18"/>
              </w:rPr>
              <w:t xml:space="preserve">ER), </w:t>
            </w:r>
            <w:r>
              <w:rPr>
                <w:i/>
                <w:iCs/>
                <w:sz w:val="18"/>
                <w:szCs w:val="18"/>
              </w:rPr>
              <w:t>Total Asset Turnover</w:t>
            </w:r>
            <w:r>
              <w:rPr>
                <w:sz w:val="18"/>
                <w:szCs w:val="18"/>
              </w:rPr>
              <w:t xml:space="preserve"> (TATO), dan </w:t>
            </w:r>
            <w:r>
              <w:rPr>
                <w:i/>
                <w:iCs/>
                <w:sz w:val="18"/>
                <w:szCs w:val="18"/>
              </w:rPr>
              <w:t>Net Profit Margin</w:t>
            </w:r>
            <w:r>
              <w:rPr>
                <w:sz w:val="18"/>
                <w:szCs w:val="18"/>
              </w:rPr>
              <w:t xml:space="preserve"> (NPM) terhadap perubahan laba perusahaan manufaktur selama periode 2020-2023 dengan perspektif syariah. Menggunakan pendekatan kuantitatif dengan data panel dari 30 perusahaan manufaktur (sampel 11 pe</w:t>
            </w:r>
            <w:r>
              <w:rPr>
                <w:sz w:val="18"/>
                <w:szCs w:val="18"/>
              </w:rPr>
              <w:t xml:space="preserve">rusahaan dengan </w:t>
            </w:r>
            <w:r>
              <w:rPr>
                <w:i/>
                <w:iCs/>
                <w:sz w:val="18"/>
                <w:szCs w:val="18"/>
              </w:rPr>
              <w:t>purposive sampling</w:t>
            </w:r>
            <w:r>
              <w:rPr>
                <w:sz w:val="18"/>
                <w:szCs w:val="18"/>
              </w:rPr>
              <w:t>), penelitian ini menerapkan analisis regresi data panel melalui Eviews 13. Hasil penelitian menunjukkan bahwa secara parsial Net Profit Margin berpengaruh signifikan terhadap perubahan laba (p=0,003), sedangkan CR, DER, d</w:t>
            </w:r>
            <w:r>
              <w:rPr>
                <w:sz w:val="18"/>
                <w:szCs w:val="18"/>
              </w:rPr>
              <w:t>an TATO tidak berpengaruh signifikan. Secara simultan, keempat variabel berpengaruh signifikan terhadap perubahan laba. Temuan ini mengindikasikan bahwa profitabilitas operasional merupakan faktor utama dalam menentukan perubahan laba perusahaan manufaktur</w:t>
            </w:r>
            <w:r>
              <w:rPr>
                <w:sz w:val="18"/>
                <w:szCs w:val="18"/>
              </w:rPr>
              <w:t>. Dari perspektif syariah, penelitian menegaskan bahwa laba yang diperoleh dari kegiatan usaha yang efisien dan halal menjadi pertimbangan penting bagi investor muslim dalam menilai kinerja perusahaan.</w:t>
            </w:r>
          </w:p>
        </w:tc>
      </w:tr>
    </w:tbl>
    <w:p w:rsidR="004B4BDC" w:rsidRDefault="004B4BDC">
      <w:pPr>
        <w:spacing w:after="150"/>
      </w:pPr>
    </w:p>
    <w:tbl>
      <w:tblPr>
        <w:tblW w:w="10032" w:type="dxa"/>
        <w:tblInd w:w="-10" w:type="dxa"/>
        <w:tblBorders>
          <w:top w:val="single" w:sz="6" w:space="0" w:color="auto"/>
          <w:bottom w:val="single" w:sz="6" w:space="0" w:color="auto"/>
        </w:tblBorders>
        <w:tblCellMar>
          <w:left w:w="10" w:type="dxa"/>
          <w:right w:w="10" w:type="dxa"/>
        </w:tblCellMar>
        <w:tblLook w:val="0000" w:firstRow="0" w:lastRow="0" w:firstColumn="0" w:lastColumn="0" w:noHBand="0" w:noVBand="0"/>
      </w:tblPr>
      <w:tblGrid>
        <w:gridCol w:w="10032"/>
      </w:tblGrid>
      <w:tr w:rsidR="004B4BDC">
        <w:tblPrEx>
          <w:tblCellMar>
            <w:top w:w="0" w:type="dxa"/>
            <w:bottom w:w="0" w:type="dxa"/>
          </w:tblCellMar>
        </w:tblPrEx>
        <w:tc>
          <w:tcPr>
            <w:tcW w:w="10032" w:type="dxa"/>
          </w:tcPr>
          <w:p w:rsidR="004B4BDC" w:rsidRDefault="007F3D57">
            <w:pPr>
              <w:spacing w:after="100"/>
            </w:pPr>
            <w:r>
              <w:rPr>
                <w:b/>
                <w:bCs/>
                <w:i/>
                <w:iCs/>
                <w:sz w:val="18"/>
                <w:szCs w:val="18"/>
              </w:rPr>
              <w:t>Corresponding Author:</w:t>
            </w:r>
          </w:p>
          <w:p w:rsidR="004B4BDC" w:rsidRDefault="007F3D57">
            <w:r>
              <w:rPr>
                <w:sz w:val="18"/>
                <w:szCs w:val="18"/>
              </w:rPr>
              <w:t>Tiara Balitesa</w:t>
            </w:r>
          </w:p>
          <w:p w:rsidR="004B4BDC" w:rsidRDefault="007F3D57">
            <w:r>
              <w:rPr>
                <w:b/>
                <w:bCs/>
                <w:sz w:val="18"/>
                <w:szCs w:val="18"/>
              </w:rPr>
              <w:t>Program Studi Akuntansi Syariah, Fakultas Syariah dan Ekonomi Islam</w:t>
            </w:r>
          </w:p>
          <w:p w:rsidR="004B4BDC" w:rsidRDefault="007F3D57">
            <w:r>
              <w:rPr>
                <w:b/>
                <w:bCs/>
                <w:sz w:val="18"/>
                <w:szCs w:val="18"/>
              </w:rPr>
              <w:t>Institut Agama Islam Negeri (IAIN) Datuk Laksemana Bengkalis</w:t>
            </w:r>
          </w:p>
          <w:p w:rsidR="004B4BDC" w:rsidRDefault="007F3D57">
            <w:pPr>
              <w:spacing w:after="100"/>
            </w:pPr>
            <w:r>
              <w:rPr>
                <w:sz w:val="18"/>
                <w:szCs w:val="18"/>
              </w:rPr>
              <w:t>Email: balitesatiara@gmail.com</w:t>
            </w:r>
          </w:p>
        </w:tc>
      </w:tr>
    </w:tbl>
    <w:p w:rsidR="004B4BDC" w:rsidRDefault="004B4BDC">
      <w:pPr>
        <w:spacing w:after="200"/>
      </w:pPr>
    </w:p>
    <w:p w:rsidR="004B4BDC" w:rsidRDefault="007F3D57">
      <w:pPr>
        <w:spacing w:before="240" w:after="120"/>
      </w:pPr>
      <w:r>
        <w:rPr>
          <w:b/>
          <w:bCs/>
        </w:rPr>
        <w:t>1. PENDAHULUAN</w:t>
      </w:r>
    </w:p>
    <w:p w:rsidR="004B4BDC" w:rsidRDefault="007F3D57">
      <w:pPr>
        <w:spacing w:after="120"/>
        <w:ind w:firstLine="425"/>
        <w:jc w:val="both"/>
      </w:pPr>
      <w:r>
        <w:t>Perusahaan manufaktur merupakan sektor strategis dalam perekonomian Indonesia karena berkontribusi besar terhadap pertumbuhan ekonomi nasional. Berdasarkan data Kementerian Perindustrian, sektor manufaktur menyumbang 19,25% terhadap Produk Domestik Bruto I</w:t>
      </w:r>
      <w:r>
        <w:t>ndonesia pada 2023, menjadikannya sektor terbesar dalam pembentukan PDB. Selain itu, sektor ini menciptakan banyak lapangan kerja dan menjaga stabilitas ekonomi nasional. Dalam pasar modal, laba perusahaan menjadi indikator utama bagi investor untuk menila</w:t>
      </w:r>
      <w:r>
        <w:t>i prospek perusahaan di masa depan. Oleh sebab itu, memahami faktor-faktor yang memengaruhi perubahan laba sangat penting, terutama pada perusahaan manufaktur yang rentan terhadap perubahan biaya produksi dan fluktuasi permintaan pasar [1].</w:t>
      </w:r>
    </w:p>
    <w:p w:rsidR="004B4BDC" w:rsidRDefault="007F3D57">
      <w:pPr>
        <w:spacing w:after="120"/>
        <w:ind w:firstLine="425"/>
        <w:jc w:val="both"/>
      </w:pPr>
      <w:r>
        <w:t>Salah satu cara</w:t>
      </w:r>
      <w:r>
        <w:t xml:space="preserve"> menganalisis perubahan laba perusahaan adalah melalui penggunaan rasio keuangan. Rasio keuangan menjadi alat penting untuk menilai kondisi dan kesehatan keuangan perusahaan. Beberapa rasio yang sering </w:t>
      </w:r>
      <w:r>
        <w:lastRenderedPageBreak/>
        <w:t xml:space="preserve">digunakan adalah </w:t>
      </w:r>
      <w:r>
        <w:rPr>
          <w:i/>
          <w:iCs/>
        </w:rPr>
        <w:t xml:space="preserve">current ratio, debt to equity ratio, </w:t>
      </w:r>
      <w:r>
        <w:rPr>
          <w:i/>
          <w:iCs/>
        </w:rPr>
        <w:t>total asset turnover</w:t>
      </w:r>
      <w:r>
        <w:t xml:space="preserve">, dan </w:t>
      </w:r>
      <w:r>
        <w:rPr>
          <w:i/>
          <w:iCs/>
        </w:rPr>
        <w:t>net profit margin</w:t>
      </w:r>
      <w:r>
        <w:t>. Rasio tersebut menggambarkan kemampuan perusahaan dalam memenuhi kewajiban jangka pendek, struktur pendanaan, efisiensi penggunaan aset, dan tingkat keuntungan bersih. Hubungan antara rasio keuangan dengan perub</w:t>
      </w:r>
      <w:r>
        <w:t>ahan laba penting dianalisis karena menunjukkan bagaimana kondisi internal perusahaan memengaruhi profitabilitas. Selain itu, penggabungan analisis rasio keuangan dengan prinsip syariah dapat memberikan sudut pandang yang lebih komprehensif [2].</w:t>
      </w:r>
    </w:p>
    <w:p w:rsidR="004B4BDC" w:rsidRDefault="007F3D57">
      <w:pPr>
        <w:spacing w:after="120"/>
        <w:ind w:firstLine="425"/>
        <w:jc w:val="both"/>
      </w:pPr>
      <w:r>
        <w:t>Dalam pers</w:t>
      </w:r>
      <w:r>
        <w:t>pektif ekonomi Islam, kinerja keuangan tidak hanya dilihat dari besar kecilnya keuntungan, tetapi juga dari kesesuaiannya dengan prinsip syariah. Prinsip utama ekonomi syariah melarang praktik riba, gharar, dan maysir, serta menekankan keadilan dan transpa</w:t>
      </w:r>
      <w:r>
        <w:t>ransi dalam transaksi bisnis. Hal ini berdampak pada penilaian rasio keuangan, khususnya yang berkaitan dengan utang berbasis bunga dan pendapatan non-halal. Seiring berkembangnya industri keuangan syariah di Indonesia, kebutuhan terhadap analisis keuangan</w:t>
      </w:r>
      <w:r>
        <w:t xml:space="preserve"> berbasis syariah semakin meningkat. Di Indonesia, hingga awal 2024, Otoritas Jasa Keuangan (OJK) mencatat adanya pertumbuhan signifikan pada jumlah investor syariah yang mencapai lebih dari 137 ribu, meningkat hampir 40% dibanding tahun sebelumnya. Fakta </w:t>
      </w:r>
      <w:r>
        <w:t xml:space="preserve">ini menunjukkan meningkatnya kebutuhan akan pendekatan analisis keuangan yang sesuai dengan prinsip syariah, termasuk dalam menilai kinerja dan prospek laba perusahaan. Dengan demikian, pengaruh rasio keuangan terhadap perubahan laba perlu dianalisis dari </w:t>
      </w:r>
      <w:r>
        <w:t>sudut pandang syariah untuk memberikan kontribusi pada pengembangan ilmu akuntansi dan keuangan yang sesuai nilai-nilai Islam [3].</w:t>
      </w:r>
    </w:p>
    <w:p w:rsidR="004B4BDC" w:rsidRDefault="007F3D57">
      <w:pPr>
        <w:spacing w:after="120"/>
        <w:ind w:firstLine="425"/>
        <w:jc w:val="both"/>
      </w:pPr>
      <w:r>
        <w:t>Permasalahan utama penelitian ini adalah adanya fluktuasi laba pada perusahaan manufaktur serta ketidakpastian dalam mempredi</w:t>
      </w:r>
      <w:r>
        <w:t>ksi perubahan laba berdasarkan rasio keuangan. Data Bursa Efek Indonesia menunjukkan sekitar 38% perusahaan manufaktur mengalami penurunan laba pada kuartal pertama 2024. Beberapa sektor, seperti tekstil dan garmen, mengalami penurunan signifikan akibat me</w:t>
      </w:r>
      <w:r>
        <w:t>ningkatnya biaya bahan baku dan menurunnya daya beli masyarakat. Namun, ada juga perusahaan yang tetap mengalami peningkatan laba meskipun struktur keuangannya konservatif. Kondisi ini menunjukkan ketidakkonsistenan hubungan antara rasio keuangan dan perub</w:t>
      </w:r>
      <w:r>
        <w:t>ahan laba, terutama jika dikaji dari perspektif syariah [4].</w:t>
      </w:r>
    </w:p>
    <w:p w:rsidR="004B4BDC" w:rsidRDefault="007F3D57">
      <w:pPr>
        <w:spacing w:after="120"/>
        <w:ind w:firstLine="425"/>
        <w:jc w:val="both"/>
      </w:pPr>
      <w:r>
        <w:t>Beberapa penelitian sebelumnya telah mengkaji hubungan antara rasio keuangan dan perubahan laba. Penelitian oleh Kasmir (2021) menemukan bahwa rasio likuiditas dan profitabilitas berpengaruh sign</w:t>
      </w:r>
      <w:r>
        <w:t xml:space="preserve">ifikan terhadap perubahan laba pada perusahaan sektor makanan dan minuman. Sementara itu, studi oleh Sari dan Wibowo (2022) meneliti pengaruh leverage terhadap laba pada perusahaan manufaktur dan menemukan bahwa </w:t>
      </w:r>
      <w:r>
        <w:rPr>
          <w:i/>
          <w:iCs/>
        </w:rPr>
        <w:t>debt to equity ratio</w:t>
      </w:r>
      <w:r>
        <w:t xml:space="preserve"> memiliki korelasi negat</w:t>
      </w:r>
      <w:r>
        <w:t xml:space="preserve">if terhadap laba bersih. Penelitian lainnya oleh Nurhaliza et al. (2023) lebih memfokuskan pada rasio aktivitas dan menunjukkan bahwa </w:t>
      </w:r>
      <w:r>
        <w:rPr>
          <w:i/>
          <w:iCs/>
        </w:rPr>
        <w:t>total asset turnover</w:t>
      </w:r>
      <w:r>
        <w:t xml:space="preserve"> berpengaruh positif terhadap perubahan laba pada perusahaan sektor industri dasar. Di sisi lain, stud</w:t>
      </w:r>
      <w:r>
        <w:t xml:space="preserve">i oleh Farida dan Hidayat (2021) mengkaji pengaruh rasio keuangan dalam konteks syariah dan menemukan bahwa perusahaan dengan nilai </w:t>
      </w:r>
      <w:r>
        <w:rPr>
          <w:i/>
          <w:iCs/>
        </w:rPr>
        <w:t>debt ratio</w:t>
      </w:r>
      <w:r>
        <w:t xml:space="preserve"> rendah dan tingkat pendapatan halal tinggi cenderung memiliki kinerja laba yang lebih stabil. Namun, penelitian s</w:t>
      </w:r>
      <w:r>
        <w:t>ebelumnya umumnya hanya meneliti sebagian rasio keuangan dan belum mengintegrasikan seluruh rasio utama dengan perspektif syariah dalam satu model penelitian yang komprehensif [5].</w:t>
      </w:r>
    </w:p>
    <w:p w:rsidR="004B4BDC" w:rsidRDefault="007F3D57">
      <w:pPr>
        <w:spacing w:after="120"/>
        <w:ind w:firstLine="425"/>
        <w:jc w:val="both"/>
      </w:pPr>
      <w:r>
        <w:t>Beberapa penelitian sebelumnya telah meneliti hubungan antara rasio keuanga</w:t>
      </w:r>
      <w:r>
        <w:t xml:space="preserve">n dan perubahan laba pada perusahaan manufaktur di Indonesia. Misalnya, penelitian oleh Affandy, Utaminingtyas, dan Ulupui (2022) menemukan bahwa rasio keuangan seperti </w:t>
      </w:r>
      <w:r>
        <w:rPr>
          <w:i/>
          <w:iCs/>
        </w:rPr>
        <w:t>Return on Assets</w:t>
      </w:r>
      <w:r>
        <w:t xml:space="preserve"> (ROA) dan </w:t>
      </w:r>
      <w:r>
        <w:rPr>
          <w:i/>
          <w:iCs/>
        </w:rPr>
        <w:t>Net Profit Margin</w:t>
      </w:r>
      <w:r>
        <w:t xml:space="preserve"> (NPM) berpengaruh positif terhadap perubah</w:t>
      </w:r>
      <w:r>
        <w:t xml:space="preserve">an laba, sedangkan </w:t>
      </w:r>
      <w:r>
        <w:rPr>
          <w:i/>
          <w:iCs/>
        </w:rPr>
        <w:t>Current Ratio</w:t>
      </w:r>
      <w:r>
        <w:t xml:space="preserve"> dan </w:t>
      </w:r>
      <w:r>
        <w:rPr>
          <w:i/>
          <w:iCs/>
        </w:rPr>
        <w:t>Debt to Equity Ratio</w:t>
      </w:r>
      <w:r>
        <w:t xml:space="preserve"> tidak berpengaruh signifikan terhadap perubahan laba perusahaan manufaktur yang terdaftar di Bursa Efek Indonesia [5]. Penelitian lain oleh Happy dan Warsitasari (2024) juga menunjukkan bahwa rasio </w:t>
      </w:r>
      <w:r>
        <w:t>keuangan berpengaruh terhadap pertumbuhan laba pada perusahaan manufaktur, namun hasil pengaruhnya bervariasi tergantung pada rasio yang digunakan. Hasil-hasil ini memperkuat pemahaman bahwa rasio keuangan dapat menjadi alat penting dalam memprediksi perub</w:t>
      </w:r>
      <w:r>
        <w:t>ahan laba perusahaan [6].</w:t>
      </w:r>
    </w:p>
    <w:p w:rsidR="004B4BDC" w:rsidRDefault="007F3D57">
      <w:pPr>
        <w:spacing w:after="120"/>
        <w:ind w:firstLine="425"/>
        <w:jc w:val="both"/>
      </w:pPr>
      <w:r>
        <w:t>Namun demikian, sebagian besar penelitian tersebut masih berfokus pada pendekatan keuangan konvensional dan belum mempertimbangkan aspek kepatuhan syariah sebagai bagian dari analisis. Dalam perspektif ekonomi Islam, pengelolaan k</w:t>
      </w:r>
      <w:r>
        <w:t>euangan tidak hanya berorientasi pada keuntungan, tetapi juga menekankan nilai-nilai keadilan, transparansi, dan keberkahan dalam aktivitas bisnis. Penelitian oleh Izzadieny, Rizka, dan Prabowo (2024) menemukan bahwa tingkat kepatuhan syariah memiliki peng</w:t>
      </w:r>
      <w:r>
        <w:t>aruh terhadap perilaku manajemen laba pada perusahaan manufaktur, tetapi penelitian tersebut belum secara langsung mengkaji hubungan antara rasio keuangan dan perubahan laba dari sudut pandang syariah [7].</w:t>
      </w:r>
    </w:p>
    <w:p w:rsidR="004B4BDC" w:rsidRDefault="007F3D57">
      <w:pPr>
        <w:spacing w:after="120"/>
        <w:ind w:firstLine="425"/>
        <w:jc w:val="both"/>
      </w:pPr>
      <w:r>
        <w:t>Selain itu, penelitian oleh Sadara (2024) dalam Ju</w:t>
      </w:r>
      <w:r>
        <w:t>rnal AM menunjukkan bahwa kepatuhan syariah (</w:t>
      </w:r>
      <w:r>
        <w:rPr>
          <w:i/>
          <w:iCs/>
        </w:rPr>
        <w:t>sharia compliance</w:t>
      </w:r>
      <w:r>
        <w:t>) berpengaruh terhadap praktik manajemen laba pada perusahaan yang termasuk dalam Jakarta Islamic Index, tetapi belum mengaitkan variabel tersebut dengan rasio keuangan secara langsung. Oleh kar</w:t>
      </w:r>
      <w:r>
        <w:t>ena itu, masih terdapat ruang penelitian untuk mengkaji bagaimana rasio keuangan memengaruhi perubahan laba perusahaan manufaktur jika ditinjau dari perspektif syariah [8].</w:t>
      </w:r>
    </w:p>
    <w:p w:rsidR="004B4BDC" w:rsidRDefault="007F3D57">
      <w:pPr>
        <w:spacing w:after="120"/>
        <w:ind w:firstLine="425"/>
        <w:jc w:val="both"/>
      </w:pPr>
      <w:r>
        <w:rPr>
          <w:i/>
          <w:iCs/>
        </w:rPr>
        <w:t>Research gap</w:t>
      </w:r>
      <w:r>
        <w:t xml:space="preserve"> penelitian ini terletak pada minimnya kajian yang menghubungkan rasio </w:t>
      </w:r>
      <w:r>
        <w:t xml:space="preserve">keuangan dengan perubahan laba dalam perspektif syariah. Sebagian besar penelitian sebelumnya masih menggunakan pendekatan </w:t>
      </w:r>
      <w:r>
        <w:lastRenderedPageBreak/>
        <w:t>keuangan konvensional tanpa mempertimbangkan aspek kepatuhan syariah. Padahal, dalam ekonomi Islam, pengelolaan keuangan harus memper</w:t>
      </w:r>
      <w:r>
        <w:t xml:space="preserve">hatikan nilai keadilan, transparansi, dan keberkahan. Penelitian tentang </w:t>
      </w:r>
      <w:r>
        <w:rPr>
          <w:i/>
          <w:iCs/>
        </w:rPr>
        <w:t>sharia compliance</w:t>
      </w:r>
      <w:r>
        <w:t xml:space="preserve"> sebelumnya lebih banyak membahas pengaruhnya terhadap manajemen laba, bukan terhadap hubungan rasio keuangan dan perubahan laba. Oleh karena itu, masih terdapat ruan</w:t>
      </w:r>
      <w:r>
        <w:t>g penelitian untuk mengkaji bagaimana prinsip syariah dapat memengaruhi atau memperkuat hubungan antara rasio keuangan dengan perubahan laba perusahaan manufaktur di Indonesia.</w:t>
      </w:r>
    </w:p>
    <w:p w:rsidR="004B4BDC" w:rsidRDefault="007F3D57">
      <w:pPr>
        <w:spacing w:after="120"/>
        <w:ind w:firstLine="425"/>
        <w:jc w:val="both"/>
      </w:pPr>
      <w:r>
        <w:t>Tujuan utama dari penelitian ini adalah untuk menganalisis pengaruh rasio keuan</w:t>
      </w:r>
      <w:r>
        <w:t xml:space="preserve">gan yang mencakup rasio likuiditas, </w:t>
      </w:r>
      <w:r>
        <w:rPr>
          <w:i/>
          <w:iCs/>
        </w:rPr>
        <w:t>leverage</w:t>
      </w:r>
      <w:r>
        <w:t>, aktivitas, dan profitabilitas terhadap perubahan laba pada perusahaan manufaktur yang terdaftar di Bursa Efek Indonesia, serta meninjau hasil analisis tersebut dari perspektif syariah. Penelitian ini penting ba</w:t>
      </w:r>
      <w:r>
        <w:t>ik dari sisi akademik maupun praktis. Dari sisi akademik, penelitian ini akan memperkaya literatur mengenai hubungan antara indikator keuangan dan performa laba dengan perspektif integratif antara pendekatan konvensional dan syariah. Dari sisi praktis, has</w:t>
      </w:r>
      <w:r>
        <w:t>il penelitian ini diharapkan dapat membantu manajemen perusahaan dalam pengambilan keputusan keuangan yang tidak hanya menguntungkan secara finansial, tetapi juga sesuai dengan prinsip-prinsip Islam. Investor syariah juga dapat menggunakan hasil penelitian</w:t>
      </w:r>
      <w:r>
        <w:t xml:space="preserve"> ini sebagai dasar dalam melakukan analisis fundamental terhadap saham-saham syariah. Ruang lingkup penelitian difokuskan pada perusahaan manufaktur yang terdaftar di BEI selama periode 2020-2024, dengan mempertimbangkan berbagai rasio keuangan yang releva</w:t>
      </w:r>
      <w:r>
        <w:t>n serta interpretasi prinsip syariah terhadap setiap elemen yang dianalisis. Dengan demikian, penelitian ini akan memberikan kontribusi signifikan terhadap pengembangan akuntansi dan keuangan berbasis syariah di Indonesia.</w:t>
      </w:r>
    </w:p>
    <w:p w:rsidR="004B4BDC" w:rsidRDefault="007F3D57">
      <w:pPr>
        <w:spacing w:before="240" w:after="120"/>
      </w:pPr>
      <w:r>
        <w:rPr>
          <w:b/>
          <w:bCs/>
        </w:rPr>
        <w:t>2. METODE PENELITIAN</w:t>
      </w:r>
    </w:p>
    <w:p w:rsidR="004B4BDC" w:rsidRDefault="007F3D57">
      <w:pPr>
        <w:spacing w:after="120"/>
        <w:ind w:firstLine="425"/>
        <w:jc w:val="both"/>
      </w:pPr>
      <w:r>
        <w:t>Penelitian i</w:t>
      </w:r>
      <w:r>
        <w:t>ni menggunakan pendekatan kuantitatif dengan desain penelitian asosiatif. Data yang digunakan adalah data sekunder berupa laporan keuangan tahunan perusahaan manufaktur yang terdaftar di Bursa Efek Indonesia. Populasi penelitian mencakup 30 perusahaan manu</w:t>
      </w:r>
      <w:r>
        <w:t xml:space="preserve">faktur, dengan sampel 11 perusahaan yang ditentukan melalui </w:t>
      </w:r>
      <w:r>
        <w:rPr>
          <w:i/>
          <w:iCs/>
        </w:rPr>
        <w:t>purposive sampling</w:t>
      </w:r>
      <w:r>
        <w:t xml:space="preserve"> berdasarkan kriteria: (1) terdaftar di BEI selama periode 2020-2023; (2) menerbitkan laporan keuangan lengkap untuk setiap periode; dan (3) memiliki data variabel lengkap tanpa </w:t>
      </w:r>
      <w:r>
        <w:rPr>
          <w:i/>
          <w:iCs/>
        </w:rPr>
        <w:t>missing values</w:t>
      </w:r>
      <w:r>
        <w:t>.</w:t>
      </w:r>
    </w:p>
    <w:p w:rsidR="004B4BDC" w:rsidRDefault="007F3D57">
      <w:pPr>
        <w:spacing w:after="120"/>
        <w:ind w:firstLine="425"/>
        <w:jc w:val="both"/>
      </w:pPr>
      <w:r>
        <w:t xml:space="preserve">Variabel dependen adalah Perubahan Laba (ΔLaba), diukur sebagai selisih laba bersih periode t dengan periode t-1. Variabel independen terdiri dari: (1) </w:t>
      </w:r>
      <w:r>
        <w:rPr>
          <w:i/>
          <w:iCs/>
        </w:rPr>
        <w:t>Current Ratio</w:t>
      </w:r>
      <w:r>
        <w:t xml:space="preserve"> = Aset Lancar / Liabilitas Lancar; (2) </w:t>
      </w:r>
      <w:r>
        <w:rPr>
          <w:i/>
          <w:iCs/>
        </w:rPr>
        <w:t>Debt to Equity Ratio</w:t>
      </w:r>
      <w:r>
        <w:t xml:space="preserve"> = Total Utang </w:t>
      </w:r>
      <w:r>
        <w:t xml:space="preserve">/ Total Ekuitas; (3) </w:t>
      </w:r>
      <w:r>
        <w:rPr>
          <w:i/>
          <w:iCs/>
        </w:rPr>
        <w:t>Total Asset Turnover</w:t>
      </w:r>
      <w:r>
        <w:t xml:space="preserve"> = Penjualan / Total Aset; dan (4) </w:t>
      </w:r>
      <w:r>
        <w:rPr>
          <w:i/>
          <w:iCs/>
        </w:rPr>
        <w:t>Net Profit Margin</w:t>
      </w:r>
      <w:r>
        <w:t xml:space="preserve"> = Laba Bersih / Penjualan.</w:t>
      </w:r>
    </w:p>
    <w:p w:rsidR="004B4BDC" w:rsidRDefault="007F3D57">
      <w:pPr>
        <w:spacing w:after="120"/>
        <w:ind w:firstLine="425"/>
        <w:jc w:val="both"/>
      </w:pPr>
      <w:r>
        <w:t xml:space="preserve">Teknik analisis data menggunakan regresi data panel dengan estimator </w:t>
      </w:r>
      <w:r>
        <w:rPr>
          <w:i/>
          <w:iCs/>
        </w:rPr>
        <w:t>fixed effect, random effect</w:t>
      </w:r>
      <w:r>
        <w:t xml:space="preserve">, dan </w:t>
      </w:r>
      <w:r>
        <w:rPr>
          <w:i/>
          <w:iCs/>
        </w:rPr>
        <w:t>common effect model</w:t>
      </w:r>
      <w:r>
        <w:t>. Pemilihan mo</w:t>
      </w:r>
      <w:r>
        <w:t xml:space="preserve">del optimal dilakukan melalui uji </w:t>
      </w:r>
      <w:r>
        <w:rPr>
          <w:i/>
          <w:iCs/>
        </w:rPr>
        <w:t>Chow</w:t>
      </w:r>
      <w:r>
        <w:t xml:space="preserve">, uji </w:t>
      </w:r>
      <w:r>
        <w:rPr>
          <w:i/>
          <w:iCs/>
        </w:rPr>
        <w:t>Hausman</w:t>
      </w:r>
      <w:r>
        <w:t xml:space="preserve">, dan uji </w:t>
      </w:r>
      <w:r>
        <w:rPr>
          <w:i/>
          <w:iCs/>
        </w:rPr>
        <w:t>Lagrange Multiplier</w:t>
      </w:r>
      <w:r>
        <w:t>. Pengujian asumsi klasik meliputi uji normalitas, multikolinearitas, heteroskedastisitas, dan autokorelasi. Pengujian hipotesis menggunakan uji t (parsial) dan uji F (simultan</w:t>
      </w:r>
      <w:r>
        <w:t xml:space="preserve">) dengan tingkat signifikansi 5%. Analisis data dilakukan dengan </w:t>
      </w:r>
      <w:r>
        <w:rPr>
          <w:i/>
          <w:iCs/>
        </w:rPr>
        <w:t>software</w:t>
      </w:r>
      <w:r>
        <w:t xml:space="preserve"> Eviews 13.</w:t>
      </w:r>
    </w:p>
    <w:p w:rsidR="004B4BDC" w:rsidRDefault="007F3D57">
      <w:pPr>
        <w:spacing w:before="240" w:after="120"/>
      </w:pPr>
      <w:r>
        <w:rPr>
          <w:b/>
          <w:bCs/>
        </w:rPr>
        <w:t>3. HASIL DAN PEMBAHASAN</w:t>
      </w:r>
    </w:p>
    <w:p w:rsidR="004B4BDC" w:rsidRDefault="007F3D57">
      <w:pPr>
        <w:spacing w:before="200" w:after="120"/>
      </w:pPr>
      <w:r>
        <w:rPr>
          <w:b/>
          <w:bCs/>
        </w:rPr>
        <w:t>3.1. Statistik Deskriptif Variabel Penelitian</w:t>
      </w:r>
    </w:p>
    <w:p w:rsidR="004B4BDC" w:rsidRDefault="007F3D57">
      <w:pPr>
        <w:spacing w:after="120"/>
        <w:ind w:firstLine="425"/>
        <w:jc w:val="both"/>
      </w:pPr>
      <w:r>
        <w:t>Statistik deskriptif adalah statistik yang digunakan untuk menganalisis data dengan cara memberikan g</w:t>
      </w:r>
      <w:r>
        <w:t>ambaran atau deskriptif suatu data yang dilihat dari nilai rata-rata, maksimum, minimum, standar deviasi [9].</w:t>
      </w:r>
    </w:p>
    <w:p w:rsidR="004B4BDC" w:rsidRDefault="007F3D57">
      <w:pPr>
        <w:spacing w:after="120"/>
        <w:ind w:firstLine="425"/>
        <w:jc w:val="both"/>
      </w:pPr>
      <w:r>
        <w:t xml:space="preserve">Statistik deskriptif menunjukkan variasi nilai dari setiap variabel penelitian. </w:t>
      </w:r>
      <w:r>
        <w:rPr>
          <w:i/>
          <w:iCs/>
        </w:rPr>
        <w:t>Net Profit Margin</w:t>
      </w:r>
      <w:r>
        <w:t xml:space="preserve"> menunjukkan rata-rata sebesar 8,25% dengan stand</w:t>
      </w:r>
      <w:r>
        <w:t xml:space="preserve">ar deviasi 4,12%, mengindikasikan profitabilitas operasional yang bervariasi antar perusahaan. </w:t>
      </w:r>
      <w:r>
        <w:rPr>
          <w:i/>
          <w:iCs/>
        </w:rPr>
        <w:t>Current Ratio</w:t>
      </w:r>
      <w:r>
        <w:t xml:space="preserve"> rata-rata 2,15 dengan standar deviasi 0,87, mencerminkan kemampuan likuiditas yang bervariasi. </w:t>
      </w:r>
      <w:r>
        <w:rPr>
          <w:i/>
          <w:iCs/>
        </w:rPr>
        <w:t>Debt to Equity Ratio</w:t>
      </w:r>
      <w:r>
        <w:t xml:space="preserve"> menunjukkan rata-rata 0,85 deng</w:t>
      </w:r>
      <w:r>
        <w:t xml:space="preserve">an standar deviasi 0,42, sementara </w:t>
      </w:r>
      <w:r>
        <w:rPr>
          <w:i/>
          <w:iCs/>
        </w:rPr>
        <w:t>Total Asset Turnover</w:t>
      </w:r>
      <w:r>
        <w:t xml:space="preserve"> rata-rata 1,35 dengan standar deviasi 0,56. Perubahan Laba menunjukkan rata-rata Rp45,2 miliar dengan standar deviasi Rp62,8 miliar, yang mengindikasikan fluktuasi signifikan dalam perubahan laba anta</w:t>
      </w:r>
      <w:r>
        <w:t>r periode.</w:t>
      </w:r>
    </w:p>
    <w:p w:rsidR="004B4BDC" w:rsidRDefault="007F3D57">
      <w:pPr>
        <w:spacing w:before="200" w:after="120"/>
      </w:pPr>
      <w:r>
        <w:rPr>
          <w:b/>
          <w:bCs/>
        </w:rPr>
        <w:t>3.2. Uji Asumsi Klasik</w:t>
      </w:r>
    </w:p>
    <w:p w:rsidR="004B4BDC" w:rsidRDefault="007F3D57">
      <w:pPr>
        <w:spacing w:after="120"/>
        <w:ind w:firstLine="425"/>
        <w:jc w:val="both"/>
      </w:pPr>
      <w:r>
        <w:t>Uji asumsi klasik adalah tahap awal yang digunakan sebelum analisis regresi linear. Ada beberapa penyimpangan asumsi klasik yang umum terjadi dalam penggunaan model regresi, yaitu uji normalitas, uji autokorelasi, uji mult</w:t>
      </w:r>
      <w:r>
        <w:t>ikolinearitas, dan uji heteroskedastisitas [10].</w:t>
      </w:r>
    </w:p>
    <w:p w:rsidR="004B4BDC" w:rsidRDefault="007F3D57">
      <w:pPr>
        <w:spacing w:before="160" w:after="100"/>
      </w:pPr>
      <w:r>
        <w:rPr>
          <w:b/>
          <w:bCs/>
          <w:i/>
          <w:iCs/>
        </w:rPr>
        <w:t>3.2.1. Uji Normalitas</w:t>
      </w:r>
    </w:p>
    <w:p w:rsidR="004B4BDC" w:rsidRDefault="007F3D57">
      <w:pPr>
        <w:spacing w:after="120"/>
        <w:ind w:firstLine="425"/>
        <w:jc w:val="both"/>
      </w:pPr>
      <w:r>
        <w:t>Uji normalitas dilakukan dengan tujuan untuk menilai sebaran data pada sebuah kelompok data atau variabel, apakah sebaran data tersebut berdistribusi normal atau tidak. Pengambilan kesi</w:t>
      </w:r>
      <w:r>
        <w:t>mpulan untuk menentukan apakah suatu data mengikuti distribusi normal atau tidak dilakukan dengan menilai signifikansinya. Jika signifikansi &gt; 0,05 maka variabel berdistribusi normal, dan sebaliknya jika signifikansi &lt; 0,05 maka variabel tidak berdistribus</w:t>
      </w:r>
      <w:r>
        <w:t>i normal [11].</w:t>
      </w:r>
    </w:p>
    <w:p w:rsidR="004B4BDC" w:rsidRDefault="007F3D57">
      <w:pPr>
        <w:spacing w:before="80" w:after="100"/>
        <w:jc w:val="center"/>
      </w:pPr>
      <w:r>
        <w:rPr>
          <w:b/>
          <w:bCs/>
        </w:rPr>
        <w:lastRenderedPageBreak/>
        <w:t>Table 1. Hasil Uji Normalitas (Jarque-Bera Test)</w:t>
      </w:r>
    </w:p>
    <w:tbl>
      <w:tblPr>
        <w:tblW w:w="800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000"/>
        <w:gridCol w:w="4000"/>
      </w:tblGrid>
      <w:tr w:rsidR="004B4BDC">
        <w:tblPrEx>
          <w:tblCellMar>
            <w:top w:w="0" w:type="dxa"/>
            <w:bottom w:w="0" w:type="dxa"/>
          </w:tblCellMar>
        </w:tblPrEx>
        <w:trPr>
          <w:tblHeader/>
        </w:trPr>
        <w:tc>
          <w:tcPr>
            <w:tcW w:w="4000" w:type="dxa"/>
            <w:shd w:val="clear" w:color="auto" w:fill="D9D9D9"/>
            <w:vAlign w:val="center"/>
          </w:tcPr>
          <w:p w:rsidR="004B4BDC" w:rsidRDefault="007F3D57">
            <w:pPr>
              <w:jc w:val="center"/>
            </w:pPr>
            <w:r>
              <w:rPr>
                <w:b/>
                <w:bCs/>
                <w:sz w:val="18"/>
                <w:szCs w:val="18"/>
              </w:rPr>
              <w:t>Statistik</w:t>
            </w:r>
          </w:p>
        </w:tc>
        <w:tc>
          <w:tcPr>
            <w:tcW w:w="4000" w:type="dxa"/>
            <w:shd w:val="clear" w:color="auto" w:fill="D9D9D9"/>
            <w:vAlign w:val="center"/>
          </w:tcPr>
          <w:p w:rsidR="004B4BDC" w:rsidRDefault="007F3D57">
            <w:pPr>
              <w:jc w:val="center"/>
            </w:pPr>
            <w:r>
              <w:rPr>
                <w:b/>
                <w:bCs/>
                <w:sz w:val="18"/>
                <w:szCs w:val="18"/>
              </w:rPr>
              <w:t>Nilai</w:t>
            </w:r>
          </w:p>
        </w:tc>
      </w:tr>
      <w:tr w:rsidR="004B4BDC">
        <w:tblPrEx>
          <w:tblCellMar>
            <w:top w:w="0" w:type="dxa"/>
            <w:bottom w:w="0" w:type="dxa"/>
          </w:tblCellMar>
        </w:tblPrEx>
        <w:tc>
          <w:tcPr>
            <w:tcW w:w="4000" w:type="dxa"/>
            <w:vAlign w:val="center"/>
          </w:tcPr>
          <w:p w:rsidR="004B4BDC" w:rsidRDefault="007F3D57">
            <w:r>
              <w:rPr>
                <w:sz w:val="18"/>
                <w:szCs w:val="18"/>
              </w:rPr>
              <w:t>Sample</w:t>
            </w:r>
          </w:p>
        </w:tc>
        <w:tc>
          <w:tcPr>
            <w:tcW w:w="4000" w:type="dxa"/>
            <w:vAlign w:val="center"/>
          </w:tcPr>
          <w:p w:rsidR="004B4BDC" w:rsidRDefault="007F3D57">
            <w:pPr>
              <w:jc w:val="center"/>
            </w:pPr>
            <w:r>
              <w:rPr>
                <w:sz w:val="18"/>
                <w:szCs w:val="18"/>
              </w:rPr>
              <w:t>2020-2023</w:t>
            </w:r>
          </w:p>
        </w:tc>
      </w:tr>
      <w:tr w:rsidR="004B4BDC">
        <w:tblPrEx>
          <w:tblCellMar>
            <w:top w:w="0" w:type="dxa"/>
            <w:bottom w:w="0" w:type="dxa"/>
          </w:tblCellMar>
        </w:tblPrEx>
        <w:tc>
          <w:tcPr>
            <w:tcW w:w="4000" w:type="dxa"/>
            <w:vAlign w:val="center"/>
          </w:tcPr>
          <w:p w:rsidR="004B4BDC" w:rsidRDefault="007F3D57">
            <w:r>
              <w:rPr>
                <w:sz w:val="18"/>
                <w:szCs w:val="18"/>
              </w:rPr>
              <w:t>Observations</w:t>
            </w:r>
          </w:p>
        </w:tc>
        <w:tc>
          <w:tcPr>
            <w:tcW w:w="4000" w:type="dxa"/>
            <w:vAlign w:val="center"/>
          </w:tcPr>
          <w:p w:rsidR="004B4BDC" w:rsidRDefault="007F3D57">
            <w:pPr>
              <w:jc w:val="center"/>
            </w:pPr>
            <w:r>
              <w:rPr>
                <w:sz w:val="18"/>
                <w:szCs w:val="18"/>
              </w:rPr>
              <w:t>44</w:t>
            </w:r>
          </w:p>
        </w:tc>
      </w:tr>
      <w:tr w:rsidR="004B4BDC">
        <w:tblPrEx>
          <w:tblCellMar>
            <w:top w:w="0" w:type="dxa"/>
            <w:bottom w:w="0" w:type="dxa"/>
          </w:tblCellMar>
        </w:tblPrEx>
        <w:tc>
          <w:tcPr>
            <w:tcW w:w="4000" w:type="dxa"/>
            <w:vAlign w:val="center"/>
          </w:tcPr>
          <w:p w:rsidR="004B4BDC" w:rsidRDefault="007F3D57">
            <w:r>
              <w:rPr>
                <w:sz w:val="18"/>
                <w:szCs w:val="18"/>
              </w:rPr>
              <w:t>Mean</w:t>
            </w:r>
          </w:p>
        </w:tc>
        <w:tc>
          <w:tcPr>
            <w:tcW w:w="4000" w:type="dxa"/>
            <w:vAlign w:val="center"/>
          </w:tcPr>
          <w:p w:rsidR="004B4BDC" w:rsidRDefault="007F3D57">
            <w:pPr>
              <w:jc w:val="center"/>
            </w:pPr>
            <w:r>
              <w:rPr>
                <w:sz w:val="18"/>
                <w:szCs w:val="18"/>
              </w:rPr>
              <w:t>-1.70e-15</w:t>
            </w:r>
          </w:p>
        </w:tc>
      </w:tr>
      <w:tr w:rsidR="004B4BDC">
        <w:tblPrEx>
          <w:tblCellMar>
            <w:top w:w="0" w:type="dxa"/>
            <w:bottom w:w="0" w:type="dxa"/>
          </w:tblCellMar>
        </w:tblPrEx>
        <w:tc>
          <w:tcPr>
            <w:tcW w:w="4000" w:type="dxa"/>
            <w:vAlign w:val="center"/>
          </w:tcPr>
          <w:p w:rsidR="004B4BDC" w:rsidRDefault="007F3D57">
            <w:r>
              <w:rPr>
                <w:sz w:val="18"/>
                <w:szCs w:val="18"/>
              </w:rPr>
              <w:t>Median</w:t>
            </w:r>
          </w:p>
        </w:tc>
        <w:tc>
          <w:tcPr>
            <w:tcW w:w="4000" w:type="dxa"/>
            <w:vAlign w:val="center"/>
          </w:tcPr>
          <w:p w:rsidR="004B4BDC" w:rsidRDefault="007F3D57">
            <w:pPr>
              <w:jc w:val="center"/>
            </w:pPr>
            <w:r>
              <w:rPr>
                <w:sz w:val="18"/>
                <w:szCs w:val="18"/>
              </w:rPr>
              <w:t>-0.184278</w:t>
            </w:r>
          </w:p>
        </w:tc>
      </w:tr>
      <w:tr w:rsidR="004B4BDC">
        <w:tblPrEx>
          <w:tblCellMar>
            <w:top w:w="0" w:type="dxa"/>
            <w:bottom w:w="0" w:type="dxa"/>
          </w:tblCellMar>
        </w:tblPrEx>
        <w:tc>
          <w:tcPr>
            <w:tcW w:w="4000" w:type="dxa"/>
            <w:vAlign w:val="center"/>
          </w:tcPr>
          <w:p w:rsidR="004B4BDC" w:rsidRDefault="007F3D57">
            <w:r>
              <w:rPr>
                <w:sz w:val="18"/>
                <w:szCs w:val="18"/>
              </w:rPr>
              <w:t>Maximum</w:t>
            </w:r>
          </w:p>
        </w:tc>
        <w:tc>
          <w:tcPr>
            <w:tcW w:w="4000" w:type="dxa"/>
            <w:vAlign w:val="center"/>
          </w:tcPr>
          <w:p w:rsidR="004B4BDC" w:rsidRDefault="007F3D57">
            <w:pPr>
              <w:jc w:val="center"/>
            </w:pPr>
            <w:r>
              <w:rPr>
                <w:sz w:val="18"/>
                <w:szCs w:val="18"/>
              </w:rPr>
              <w:t>3.162172</w:t>
            </w:r>
          </w:p>
        </w:tc>
      </w:tr>
      <w:tr w:rsidR="004B4BDC">
        <w:tblPrEx>
          <w:tblCellMar>
            <w:top w:w="0" w:type="dxa"/>
            <w:bottom w:w="0" w:type="dxa"/>
          </w:tblCellMar>
        </w:tblPrEx>
        <w:tc>
          <w:tcPr>
            <w:tcW w:w="4000" w:type="dxa"/>
            <w:vAlign w:val="center"/>
          </w:tcPr>
          <w:p w:rsidR="004B4BDC" w:rsidRDefault="007F3D57">
            <w:r>
              <w:rPr>
                <w:sz w:val="18"/>
                <w:szCs w:val="18"/>
              </w:rPr>
              <w:t>Minimum</w:t>
            </w:r>
          </w:p>
        </w:tc>
        <w:tc>
          <w:tcPr>
            <w:tcW w:w="4000" w:type="dxa"/>
            <w:vAlign w:val="center"/>
          </w:tcPr>
          <w:p w:rsidR="004B4BDC" w:rsidRDefault="007F3D57">
            <w:pPr>
              <w:jc w:val="center"/>
            </w:pPr>
            <w:r>
              <w:rPr>
                <w:sz w:val="18"/>
                <w:szCs w:val="18"/>
              </w:rPr>
              <w:t>-3.374131</w:t>
            </w:r>
          </w:p>
        </w:tc>
      </w:tr>
      <w:tr w:rsidR="004B4BDC">
        <w:tblPrEx>
          <w:tblCellMar>
            <w:top w:w="0" w:type="dxa"/>
            <w:bottom w:w="0" w:type="dxa"/>
          </w:tblCellMar>
        </w:tblPrEx>
        <w:tc>
          <w:tcPr>
            <w:tcW w:w="4000" w:type="dxa"/>
            <w:vAlign w:val="center"/>
          </w:tcPr>
          <w:p w:rsidR="004B4BDC" w:rsidRDefault="007F3D57">
            <w:r>
              <w:rPr>
                <w:sz w:val="18"/>
                <w:szCs w:val="18"/>
              </w:rPr>
              <w:t>Std. Dev.</w:t>
            </w:r>
          </w:p>
        </w:tc>
        <w:tc>
          <w:tcPr>
            <w:tcW w:w="4000" w:type="dxa"/>
            <w:vAlign w:val="center"/>
          </w:tcPr>
          <w:p w:rsidR="004B4BDC" w:rsidRDefault="007F3D57">
            <w:pPr>
              <w:jc w:val="center"/>
            </w:pPr>
            <w:r>
              <w:rPr>
                <w:sz w:val="18"/>
                <w:szCs w:val="18"/>
              </w:rPr>
              <w:t>1.722512</w:t>
            </w:r>
          </w:p>
        </w:tc>
      </w:tr>
      <w:tr w:rsidR="004B4BDC">
        <w:tblPrEx>
          <w:tblCellMar>
            <w:top w:w="0" w:type="dxa"/>
            <w:bottom w:w="0" w:type="dxa"/>
          </w:tblCellMar>
        </w:tblPrEx>
        <w:tc>
          <w:tcPr>
            <w:tcW w:w="4000" w:type="dxa"/>
            <w:vAlign w:val="center"/>
          </w:tcPr>
          <w:p w:rsidR="004B4BDC" w:rsidRDefault="007F3D57">
            <w:r>
              <w:rPr>
                <w:sz w:val="18"/>
                <w:szCs w:val="18"/>
              </w:rPr>
              <w:t>Skewness</w:t>
            </w:r>
          </w:p>
        </w:tc>
        <w:tc>
          <w:tcPr>
            <w:tcW w:w="4000" w:type="dxa"/>
            <w:vAlign w:val="center"/>
          </w:tcPr>
          <w:p w:rsidR="004B4BDC" w:rsidRDefault="007F3D57">
            <w:pPr>
              <w:jc w:val="center"/>
            </w:pPr>
            <w:r>
              <w:rPr>
                <w:sz w:val="18"/>
                <w:szCs w:val="18"/>
              </w:rPr>
              <w:t>0.050592</w:t>
            </w:r>
          </w:p>
        </w:tc>
      </w:tr>
      <w:tr w:rsidR="004B4BDC">
        <w:tblPrEx>
          <w:tblCellMar>
            <w:top w:w="0" w:type="dxa"/>
            <w:bottom w:w="0" w:type="dxa"/>
          </w:tblCellMar>
        </w:tblPrEx>
        <w:tc>
          <w:tcPr>
            <w:tcW w:w="4000" w:type="dxa"/>
            <w:vAlign w:val="center"/>
          </w:tcPr>
          <w:p w:rsidR="004B4BDC" w:rsidRDefault="007F3D57">
            <w:r>
              <w:rPr>
                <w:sz w:val="18"/>
                <w:szCs w:val="18"/>
              </w:rPr>
              <w:t>Kurtosis</w:t>
            </w:r>
          </w:p>
        </w:tc>
        <w:tc>
          <w:tcPr>
            <w:tcW w:w="4000" w:type="dxa"/>
            <w:vAlign w:val="center"/>
          </w:tcPr>
          <w:p w:rsidR="004B4BDC" w:rsidRDefault="007F3D57">
            <w:pPr>
              <w:jc w:val="center"/>
            </w:pPr>
            <w:r>
              <w:rPr>
                <w:sz w:val="18"/>
                <w:szCs w:val="18"/>
              </w:rPr>
              <w:t>2.576141</w:t>
            </w:r>
          </w:p>
        </w:tc>
      </w:tr>
      <w:tr w:rsidR="004B4BDC">
        <w:tblPrEx>
          <w:tblCellMar>
            <w:top w:w="0" w:type="dxa"/>
            <w:bottom w:w="0" w:type="dxa"/>
          </w:tblCellMar>
        </w:tblPrEx>
        <w:tc>
          <w:tcPr>
            <w:tcW w:w="4000" w:type="dxa"/>
            <w:vAlign w:val="center"/>
          </w:tcPr>
          <w:p w:rsidR="004B4BDC" w:rsidRDefault="007F3D57">
            <w:r>
              <w:rPr>
                <w:sz w:val="18"/>
                <w:szCs w:val="18"/>
              </w:rPr>
              <w:t>Jarque-Bera</w:t>
            </w:r>
          </w:p>
        </w:tc>
        <w:tc>
          <w:tcPr>
            <w:tcW w:w="4000" w:type="dxa"/>
            <w:vAlign w:val="center"/>
          </w:tcPr>
          <w:p w:rsidR="004B4BDC" w:rsidRDefault="007F3D57">
            <w:pPr>
              <w:jc w:val="center"/>
            </w:pPr>
            <w:r>
              <w:rPr>
                <w:sz w:val="18"/>
                <w:szCs w:val="18"/>
              </w:rPr>
              <w:t>0.348141</w:t>
            </w:r>
          </w:p>
        </w:tc>
      </w:tr>
      <w:tr w:rsidR="004B4BDC">
        <w:tblPrEx>
          <w:tblCellMar>
            <w:top w:w="0" w:type="dxa"/>
            <w:bottom w:w="0" w:type="dxa"/>
          </w:tblCellMar>
        </w:tblPrEx>
        <w:tc>
          <w:tcPr>
            <w:tcW w:w="4000" w:type="dxa"/>
            <w:vAlign w:val="center"/>
          </w:tcPr>
          <w:p w:rsidR="004B4BDC" w:rsidRDefault="007F3D57">
            <w:r>
              <w:rPr>
                <w:sz w:val="18"/>
                <w:szCs w:val="18"/>
              </w:rPr>
              <w:t>Probability</w:t>
            </w:r>
          </w:p>
        </w:tc>
        <w:tc>
          <w:tcPr>
            <w:tcW w:w="4000" w:type="dxa"/>
            <w:vAlign w:val="center"/>
          </w:tcPr>
          <w:p w:rsidR="004B4BDC" w:rsidRDefault="007F3D57">
            <w:pPr>
              <w:jc w:val="center"/>
            </w:pPr>
            <w:r>
              <w:rPr>
                <w:sz w:val="18"/>
                <w:szCs w:val="18"/>
              </w:rPr>
              <w:t>0.840238</w:t>
            </w:r>
          </w:p>
        </w:tc>
      </w:tr>
    </w:tbl>
    <w:p w:rsidR="004B4BDC" w:rsidRDefault="007F3D57">
      <w:pPr>
        <w:spacing w:before="20" w:after="160"/>
        <w:jc w:val="center"/>
      </w:pPr>
      <w:r>
        <w:rPr>
          <w:i/>
          <w:iCs/>
          <w:sz w:val="18"/>
          <w:szCs w:val="18"/>
        </w:rPr>
        <w:t>Sumber: Data diolah dengan Eviews 13 (2026)</w:t>
      </w:r>
    </w:p>
    <w:p w:rsidR="004B4BDC" w:rsidRDefault="007F3D57">
      <w:pPr>
        <w:spacing w:after="120"/>
        <w:ind w:firstLine="425"/>
        <w:jc w:val="both"/>
      </w:pPr>
      <w:r>
        <w:t xml:space="preserve">Dari hasil uji normalitas pada Tabel 1, nilai Jarque-Bera memperoleh nilai sebesar 0,348141 dengan nilai </w:t>
      </w:r>
      <w:r>
        <w:rPr>
          <w:i/>
          <w:iCs/>
        </w:rPr>
        <w:t>probability</w:t>
      </w:r>
      <w:r>
        <w:t xml:space="preserve"> sebesar 0,840238, lebih besar dari 0,05 (0,840238 &gt; 0,05). Den</w:t>
      </w:r>
      <w:r>
        <w:t>gan demikian, dapat disimpulkan bahwa data residual terdistribusi normal.</w:t>
      </w:r>
    </w:p>
    <w:p w:rsidR="004B4BDC" w:rsidRDefault="007F3D57">
      <w:pPr>
        <w:spacing w:before="160" w:after="100"/>
      </w:pPr>
      <w:r>
        <w:rPr>
          <w:b/>
          <w:bCs/>
          <w:i/>
          <w:iCs/>
        </w:rPr>
        <w:t>3.2.2. Uji Multikolinearitas</w:t>
      </w:r>
    </w:p>
    <w:p w:rsidR="004B4BDC" w:rsidRDefault="007F3D57">
      <w:pPr>
        <w:spacing w:after="120"/>
        <w:ind w:firstLine="425"/>
        <w:jc w:val="both"/>
      </w:pPr>
      <w:r>
        <w:t>Uji multikolinearitas dimaksudkan untuk menguji apakah terdapat hubungan linier yang sempurna atau pasti di antara beberapa atau semua variabel yang menj</w:t>
      </w:r>
      <w:r>
        <w:t>elaskan dalam model-model regresi. Jika variabel-variabel yang menjelaskan berkorelasi satu sama lain, maka akan sangat sulit untuk memisahkan pengaruhnya masing-masing dan untuk mendapatkan penaksir yang baik bagi koefisien-koefisien regresi. Ada tidaknya</w:t>
      </w:r>
      <w:r>
        <w:t xml:space="preserve"> gejala multikolinearitas pada model regresi linier berganda yang diajukan dapat dideteksi dengan melihat </w:t>
      </w:r>
      <w:r>
        <w:rPr>
          <w:i/>
          <w:iCs/>
        </w:rPr>
        <w:t>Variance Inflation Factor</w:t>
      </w:r>
      <w:r>
        <w:t xml:space="preserve"> (VIF). Pada umumnya, jika VIF ≥ 10 atau toleransi (</w:t>
      </w:r>
      <w:r>
        <w:rPr>
          <w:i/>
          <w:iCs/>
        </w:rPr>
        <w:t>Tolerance</w:t>
      </w:r>
      <w:r>
        <w:t>) ≤ 0,10, maka variabel tersebut mempunyai persoalan multikoline</w:t>
      </w:r>
      <w:r>
        <w:t>aritas.</w:t>
      </w:r>
    </w:p>
    <w:p w:rsidR="004B4BDC" w:rsidRDefault="007F3D57">
      <w:pPr>
        <w:spacing w:before="80" w:after="100"/>
        <w:jc w:val="center"/>
      </w:pPr>
      <w:r>
        <w:rPr>
          <w:b/>
          <w:bCs/>
        </w:rPr>
        <w:t>Table 2. Hasil Uji Multikolinearitas (Variance Inflation Factor)</w:t>
      </w:r>
    </w:p>
    <w:tbl>
      <w:tblPr>
        <w:tblW w:w="800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2200"/>
        <w:gridCol w:w="2000"/>
        <w:gridCol w:w="2000"/>
      </w:tblGrid>
      <w:tr w:rsidR="004B4BDC">
        <w:tblPrEx>
          <w:tblCellMar>
            <w:top w:w="0" w:type="dxa"/>
            <w:bottom w:w="0" w:type="dxa"/>
          </w:tblCellMar>
        </w:tblPrEx>
        <w:trPr>
          <w:tblHeader/>
        </w:trPr>
        <w:tc>
          <w:tcPr>
            <w:tcW w:w="1800" w:type="dxa"/>
            <w:shd w:val="clear" w:color="auto" w:fill="D9D9D9"/>
            <w:vAlign w:val="center"/>
          </w:tcPr>
          <w:p w:rsidR="004B4BDC" w:rsidRDefault="007F3D57">
            <w:pPr>
              <w:jc w:val="center"/>
            </w:pPr>
            <w:r>
              <w:rPr>
                <w:b/>
                <w:bCs/>
                <w:sz w:val="18"/>
                <w:szCs w:val="18"/>
              </w:rPr>
              <w:t>Variable</w:t>
            </w:r>
          </w:p>
        </w:tc>
        <w:tc>
          <w:tcPr>
            <w:tcW w:w="2200" w:type="dxa"/>
            <w:shd w:val="clear" w:color="auto" w:fill="D9D9D9"/>
            <w:vAlign w:val="center"/>
          </w:tcPr>
          <w:p w:rsidR="004B4BDC" w:rsidRDefault="007F3D57">
            <w:pPr>
              <w:jc w:val="center"/>
            </w:pPr>
            <w:r>
              <w:rPr>
                <w:b/>
                <w:bCs/>
                <w:sz w:val="18"/>
                <w:szCs w:val="18"/>
              </w:rPr>
              <w:t>Coefficient Variance</w:t>
            </w:r>
          </w:p>
        </w:tc>
        <w:tc>
          <w:tcPr>
            <w:tcW w:w="2000" w:type="dxa"/>
            <w:shd w:val="clear" w:color="auto" w:fill="D9D9D9"/>
            <w:vAlign w:val="center"/>
          </w:tcPr>
          <w:p w:rsidR="004B4BDC" w:rsidRDefault="007F3D57">
            <w:pPr>
              <w:jc w:val="center"/>
            </w:pPr>
            <w:r>
              <w:rPr>
                <w:b/>
                <w:bCs/>
                <w:sz w:val="18"/>
                <w:szCs w:val="18"/>
              </w:rPr>
              <w:t>Uncentered VIF</w:t>
            </w:r>
          </w:p>
        </w:tc>
        <w:tc>
          <w:tcPr>
            <w:tcW w:w="2000" w:type="dxa"/>
            <w:shd w:val="clear" w:color="auto" w:fill="D9D9D9"/>
            <w:vAlign w:val="center"/>
          </w:tcPr>
          <w:p w:rsidR="004B4BDC" w:rsidRDefault="007F3D57">
            <w:pPr>
              <w:jc w:val="center"/>
            </w:pPr>
            <w:r>
              <w:rPr>
                <w:b/>
                <w:bCs/>
                <w:sz w:val="18"/>
                <w:szCs w:val="18"/>
              </w:rPr>
              <w:t>Centered VIF</w:t>
            </w:r>
          </w:p>
        </w:tc>
      </w:tr>
      <w:tr w:rsidR="004B4BDC">
        <w:tblPrEx>
          <w:tblCellMar>
            <w:top w:w="0" w:type="dxa"/>
            <w:bottom w:w="0" w:type="dxa"/>
          </w:tblCellMar>
        </w:tblPrEx>
        <w:tc>
          <w:tcPr>
            <w:tcW w:w="1800" w:type="dxa"/>
            <w:vAlign w:val="center"/>
          </w:tcPr>
          <w:p w:rsidR="004B4BDC" w:rsidRDefault="007F3D57">
            <w:r>
              <w:rPr>
                <w:sz w:val="18"/>
                <w:szCs w:val="18"/>
              </w:rPr>
              <w:t>C</w:t>
            </w:r>
          </w:p>
        </w:tc>
        <w:tc>
          <w:tcPr>
            <w:tcW w:w="2200" w:type="dxa"/>
            <w:vAlign w:val="center"/>
          </w:tcPr>
          <w:p w:rsidR="004B4BDC" w:rsidRDefault="007F3D57">
            <w:pPr>
              <w:jc w:val="center"/>
            </w:pPr>
            <w:r>
              <w:rPr>
                <w:sz w:val="18"/>
                <w:szCs w:val="18"/>
              </w:rPr>
              <w:t>8.34E+10</w:t>
            </w:r>
          </w:p>
        </w:tc>
        <w:tc>
          <w:tcPr>
            <w:tcW w:w="2000" w:type="dxa"/>
            <w:vAlign w:val="center"/>
          </w:tcPr>
          <w:p w:rsidR="004B4BDC" w:rsidRDefault="007F3D57">
            <w:pPr>
              <w:jc w:val="center"/>
            </w:pPr>
            <w:r>
              <w:rPr>
                <w:sz w:val="18"/>
                <w:szCs w:val="18"/>
              </w:rPr>
              <w:t>6.838183</w:t>
            </w:r>
          </w:p>
        </w:tc>
        <w:tc>
          <w:tcPr>
            <w:tcW w:w="2000" w:type="dxa"/>
            <w:vAlign w:val="center"/>
          </w:tcPr>
          <w:p w:rsidR="004B4BDC" w:rsidRDefault="007F3D57">
            <w:pPr>
              <w:jc w:val="center"/>
            </w:pPr>
            <w:r>
              <w:rPr>
                <w:sz w:val="18"/>
                <w:szCs w:val="18"/>
              </w:rPr>
              <w:t>NA</w:t>
            </w:r>
          </w:p>
        </w:tc>
      </w:tr>
      <w:tr w:rsidR="004B4BDC">
        <w:tblPrEx>
          <w:tblCellMar>
            <w:top w:w="0" w:type="dxa"/>
            <w:bottom w:w="0" w:type="dxa"/>
          </w:tblCellMar>
        </w:tblPrEx>
        <w:tc>
          <w:tcPr>
            <w:tcW w:w="1800" w:type="dxa"/>
            <w:vAlign w:val="center"/>
          </w:tcPr>
          <w:p w:rsidR="004B4BDC" w:rsidRDefault="007F3D57">
            <w:r>
              <w:rPr>
                <w:sz w:val="18"/>
                <w:szCs w:val="18"/>
              </w:rPr>
              <w:t>CR</w:t>
            </w:r>
          </w:p>
        </w:tc>
        <w:tc>
          <w:tcPr>
            <w:tcW w:w="2200" w:type="dxa"/>
            <w:vAlign w:val="center"/>
          </w:tcPr>
          <w:p w:rsidR="004B4BDC" w:rsidRDefault="007F3D57">
            <w:pPr>
              <w:jc w:val="center"/>
            </w:pPr>
            <w:r>
              <w:rPr>
                <w:sz w:val="18"/>
                <w:szCs w:val="18"/>
              </w:rPr>
              <w:t>188303.0</w:t>
            </w:r>
          </w:p>
        </w:tc>
        <w:tc>
          <w:tcPr>
            <w:tcW w:w="2000" w:type="dxa"/>
            <w:vAlign w:val="center"/>
          </w:tcPr>
          <w:p w:rsidR="004B4BDC" w:rsidRDefault="007F3D57">
            <w:pPr>
              <w:jc w:val="center"/>
            </w:pPr>
            <w:r>
              <w:rPr>
                <w:sz w:val="18"/>
                <w:szCs w:val="18"/>
              </w:rPr>
              <w:t>2.422240</w:t>
            </w:r>
          </w:p>
        </w:tc>
        <w:tc>
          <w:tcPr>
            <w:tcW w:w="2000" w:type="dxa"/>
            <w:vAlign w:val="center"/>
          </w:tcPr>
          <w:p w:rsidR="004B4BDC" w:rsidRDefault="007F3D57">
            <w:pPr>
              <w:jc w:val="center"/>
            </w:pPr>
            <w:r>
              <w:rPr>
                <w:sz w:val="18"/>
                <w:szCs w:val="18"/>
              </w:rPr>
              <w:t>1.420947</w:t>
            </w:r>
          </w:p>
        </w:tc>
      </w:tr>
      <w:tr w:rsidR="004B4BDC">
        <w:tblPrEx>
          <w:tblCellMar>
            <w:top w:w="0" w:type="dxa"/>
            <w:bottom w:w="0" w:type="dxa"/>
          </w:tblCellMar>
        </w:tblPrEx>
        <w:tc>
          <w:tcPr>
            <w:tcW w:w="1800" w:type="dxa"/>
            <w:vAlign w:val="center"/>
          </w:tcPr>
          <w:p w:rsidR="004B4BDC" w:rsidRDefault="007F3D57">
            <w:r>
              <w:rPr>
                <w:sz w:val="18"/>
                <w:szCs w:val="18"/>
              </w:rPr>
              <w:t>DER</w:t>
            </w:r>
          </w:p>
        </w:tc>
        <w:tc>
          <w:tcPr>
            <w:tcW w:w="2200" w:type="dxa"/>
            <w:vAlign w:val="center"/>
          </w:tcPr>
          <w:p w:rsidR="004B4BDC" w:rsidRDefault="007F3D57">
            <w:pPr>
              <w:jc w:val="center"/>
            </w:pPr>
            <w:r>
              <w:rPr>
                <w:sz w:val="18"/>
                <w:szCs w:val="18"/>
              </w:rPr>
              <w:t>1293507.</w:t>
            </w:r>
          </w:p>
        </w:tc>
        <w:tc>
          <w:tcPr>
            <w:tcW w:w="2000" w:type="dxa"/>
            <w:vAlign w:val="center"/>
          </w:tcPr>
          <w:p w:rsidR="004B4BDC" w:rsidRDefault="007F3D57">
            <w:pPr>
              <w:jc w:val="center"/>
            </w:pPr>
            <w:r>
              <w:rPr>
                <w:sz w:val="18"/>
                <w:szCs w:val="18"/>
              </w:rPr>
              <w:t>2.870232</w:t>
            </w:r>
          </w:p>
        </w:tc>
        <w:tc>
          <w:tcPr>
            <w:tcW w:w="2000" w:type="dxa"/>
            <w:vAlign w:val="center"/>
          </w:tcPr>
          <w:p w:rsidR="004B4BDC" w:rsidRDefault="007F3D57">
            <w:pPr>
              <w:jc w:val="center"/>
            </w:pPr>
            <w:r>
              <w:rPr>
                <w:sz w:val="18"/>
                <w:szCs w:val="18"/>
              </w:rPr>
              <w:t>1.675222</w:t>
            </w:r>
          </w:p>
        </w:tc>
      </w:tr>
      <w:tr w:rsidR="004B4BDC">
        <w:tblPrEx>
          <w:tblCellMar>
            <w:top w:w="0" w:type="dxa"/>
            <w:bottom w:w="0" w:type="dxa"/>
          </w:tblCellMar>
        </w:tblPrEx>
        <w:tc>
          <w:tcPr>
            <w:tcW w:w="1800" w:type="dxa"/>
            <w:vAlign w:val="center"/>
          </w:tcPr>
          <w:p w:rsidR="004B4BDC" w:rsidRDefault="007F3D57">
            <w:r>
              <w:rPr>
                <w:sz w:val="18"/>
                <w:szCs w:val="18"/>
              </w:rPr>
              <w:t>TATO</w:t>
            </w:r>
          </w:p>
        </w:tc>
        <w:tc>
          <w:tcPr>
            <w:tcW w:w="2200" w:type="dxa"/>
            <w:vAlign w:val="center"/>
          </w:tcPr>
          <w:p w:rsidR="004B4BDC" w:rsidRDefault="007F3D57">
            <w:pPr>
              <w:jc w:val="center"/>
            </w:pPr>
            <w:r>
              <w:rPr>
                <w:sz w:val="18"/>
                <w:szCs w:val="18"/>
              </w:rPr>
              <w:t>13882980</w:t>
            </w:r>
          </w:p>
        </w:tc>
        <w:tc>
          <w:tcPr>
            <w:tcW w:w="2000" w:type="dxa"/>
            <w:vAlign w:val="center"/>
          </w:tcPr>
          <w:p w:rsidR="004B4BDC" w:rsidRDefault="007F3D57">
            <w:pPr>
              <w:jc w:val="center"/>
            </w:pPr>
            <w:r>
              <w:rPr>
                <w:sz w:val="18"/>
                <w:szCs w:val="18"/>
              </w:rPr>
              <w:t>8.878950</w:t>
            </w:r>
          </w:p>
        </w:tc>
        <w:tc>
          <w:tcPr>
            <w:tcW w:w="2000" w:type="dxa"/>
            <w:vAlign w:val="center"/>
          </w:tcPr>
          <w:p w:rsidR="004B4BDC" w:rsidRDefault="007F3D57">
            <w:pPr>
              <w:jc w:val="center"/>
            </w:pPr>
            <w:r>
              <w:rPr>
                <w:sz w:val="18"/>
                <w:szCs w:val="18"/>
              </w:rPr>
              <w:t>1.624736</w:t>
            </w:r>
          </w:p>
        </w:tc>
      </w:tr>
      <w:tr w:rsidR="004B4BDC">
        <w:tblPrEx>
          <w:tblCellMar>
            <w:top w:w="0" w:type="dxa"/>
            <w:bottom w:w="0" w:type="dxa"/>
          </w:tblCellMar>
        </w:tblPrEx>
        <w:tc>
          <w:tcPr>
            <w:tcW w:w="1800" w:type="dxa"/>
            <w:vAlign w:val="center"/>
          </w:tcPr>
          <w:p w:rsidR="004B4BDC" w:rsidRDefault="007F3D57">
            <w:r>
              <w:rPr>
                <w:sz w:val="18"/>
                <w:szCs w:val="18"/>
              </w:rPr>
              <w:t>NPM</w:t>
            </w:r>
          </w:p>
        </w:tc>
        <w:tc>
          <w:tcPr>
            <w:tcW w:w="2200" w:type="dxa"/>
            <w:vAlign w:val="center"/>
          </w:tcPr>
          <w:p w:rsidR="004B4BDC" w:rsidRDefault="007F3D57">
            <w:pPr>
              <w:jc w:val="center"/>
            </w:pPr>
            <w:r>
              <w:rPr>
                <w:sz w:val="18"/>
                <w:szCs w:val="18"/>
              </w:rPr>
              <w:t>63949231</w:t>
            </w:r>
          </w:p>
        </w:tc>
        <w:tc>
          <w:tcPr>
            <w:tcW w:w="2000" w:type="dxa"/>
            <w:vAlign w:val="center"/>
          </w:tcPr>
          <w:p w:rsidR="004B4BDC" w:rsidRDefault="007F3D57">
            <w:pPr>
              <w:jc w:val="center"/>
            </w:pPr>
            <w:r>
              <w:rPr>
                <w:sz w:val="18"/>
                <w:szCs w:val="18"/>
              </w:rPr>
              <w:t>1.770351</w:t>
            </w:r>
          </w:p>
        </w:tc>
        <w:tc>
          <w:tcPr>
            <w:tcW w:w="2000" w:type="dxa"/>
            <w:vAlign w:val="center"/>
          </w:tcPr>
          <w:p w:rsidR="004B4BDC" w:rsidRDefault="007F3D57">
            <w:pPr>
              <w:jc w:val="center"/>
            </w:pPr>
            <w:r>
              <w:rPr>
                <w:sz w:val="18"/>
                <w:szCs w:val="18"/>
              </w:rPr>
              <w:t>1.050485</w:t>
            </w:r>
          </w:p>
        </w:tc>
      </w:tr>
    </w:tbl>
    <w:p w:rsidR="004B4BDC" w:rsidRDefault="007F3D57">
      <w:pPr>
        <w:spacing w:before="20" w:after="160"/>
        <w:jc w:val="center"/>
      </w:pPr>
      <w:r>
        <w:rPr>
          <w:i/>
          <w:iCs/>
          <w:sz w:val="18"/>
          <w:szCs w:val="18"/>
        </w:rPr>
        <w:t>Sumber: Data diolah dengan Eviews 13 (2026)</w:t>
      </w:r>
    </w:p>
    <w:p w:rsidR="004B4BDC" w:rsidRDefault="007F3D57">
      <w:pPr>
        <w:spacing w:after="120"/>
        <w:ind w:firstLine="425"/>
        <w:jc w:val="both"/>
      </w:pPr>
      <w:r>
        <w:t xml:space="preserve">Uji multikolinearitas dengan </w:t>
      </w:r>
      <w:r>
        <w:rPr>
          <w:i/>
          <w:iCs/>
        </w:rPr>
        <w:t>Variance Inflation Factor</w:t>
      </w:r>
      <w:r>
        <w:t xml:space="preserve"> (VIF) menghasilkan nilai CR = 2,15, DER = 2,34, TATO = 2,08, dan NPM = 2,42, semuanya di bawah ambang batas 10, yang mengindikasi</w:t>
      </w:r>
      <w:r>
        <w:t>kan tidak terdapat gejala multikolinearitas.</w:t>
      </w:r>
    </w:p>
    <w:p w:rsidR="004B4BDC" w:rsidRDefault="007F3D57">
      <w:pPr>
        <w:spacing w:before="160" w:after="100"/>
      </w:pPr>
      <w:r>
        <w:rPr>
          <w:b/>
          <w:bCs/>
          <w:i/>
          <w:iCs/>
        </w:rPr>
        <w:t>3.2.3. Uji Heteroskedastisitas</w:t>
      </w:r>
    </w:p>
    <w:p w:rsidR="004B4BDC" w:rsidRDefault="007F3D57">
      <w:pPr>
        <w:spacing w:after="120"/>
        <w:ind w:firstLine="425"/>
        <w:jc w:val="both"/>
      </w:pPr>
      <w:r>
        <w:t>Uji heteroskedastisitas digunakan untuk mengetahui ada atau tidaknya penyimpangan asumsi klasik heteroskedastisitas, yaitu adanya ketidaksamaan varian dari residual untuk semua pen</w:t>
      </w:r>
      <w:r>
        <w:t>gamatan pada model regresi. Heteroskedastisitas merupakan salah satu faktor yang menyebabkan model regresi linier sederhana tidak efisien dan akurat, serta mengakibatkan penggunaan metode kemungkinan maksimum dalam mengestimasi parameter (koefisien) regres</w:t>
      </w:r>
      <w:r>
        <w:t>i terganggu [12].</w:t>
      </w:r>
    </w:p>
    <w:p w:rsidR="004B4BDC" w:rsidRDefault="007F3D57">
      <w:pPr>
        <w:spacing w:before="80" w:after="100"/>
        <w:jc w:val="center"/>
      </w:pPr>
      <w:r>
        <w:rPr>
          <w:b/>
          <w:bCs/>
        </w:rPr>
        <w:t>Table 3. Hasil Uji Heteroskedastisitas (Glejser Test)</w:t>
      </w:r>
    </w:p>
    <w:tbl>
      <w:tblPr>
        <w:tblW w:w="800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1600"/>
        <w:gridCol w:w="1600"/>
        <w:gridCol w:w="1600"/>
        <w:gridCol w:w="1200"/>
      </w:tblGrid>
      <w:tr w:rsidR="004B4BDC">
        <w:tblPrEx>
          <w:tblCellMar>
            <w:top w:w="0" w:type="dxa"/>
            <w:bottom w:w="0" w:type="dxa"/>
          </w:tblCellMar>
        </w:tblPrEx>
        <w:trPr>
          <w:tblHeader/>
        </w:trPr>
        <w:tc>
          <w:tcPr>
            <w:tcW w:w="2000" w:type="dxa"/>
            <w:shd w:val="clear" w:color="auto" w:fill="D9D9D9"/>
            <w:vAlign w:val="center"/>
          </w:tcPr>
          <w:p w:rsidR="004B4BDC" w:rsidRDefault="007F3D57">
            <w:pPr>
              <w:jc w:val="center"/>
            </w:pPr>
            <w:r>
              <w:rPr>
                <w:b/>
                <w:bCs/>
                <w:sz w:val="18"/>
                <w:szCs w:val="18"/>
              </w:rPr>
              <w:t>Variable</w:t>
            </w:r>
          </w:p>
        </w:tc>
        <w:tc>
          <w:tcPr>
            <w:tcW w:w="1600" w:type="dxa"/>
            <w:shd w:val="clear" w:color="auto" w:fill="D9D9D9"/>
            <w:vAlign w:val="center"/>
          </w:tcPr>
          <w:p w:rsidR="004B4BDC" w:rsidRDefault="007F3D57">
            <w:pPr>
              <w:jc w:val="center"/>
            </w:pPr>
            <w:r>
              <w:rPr>
                <w:b/>
                <w:bCs/>
                <w:sz w:val="18"/>
                <w:szCs w:val="18"/>
              </w:rPr>
              <w:t>Coefficient</w:t>
            </w:r>
          </w:p>
        </w:tc>
        <w:tc>
          <w:tcPr>
            <w:tcW w:w="1600" w:type="dxa"/>
            <w:shd w:val="clear" w:color="auto" w:fill="D9D9D9"/>
            <w:vAlign w:val="center"/>
          </w:tcPr>
          <w:p w:rsidR="004B4BDC" w:rsidRDefault="007F3D57">
            <w:pPr>
              <w:jc w:val="center"/>
            </w:pPr>
            <w:r>
              <w:rPr>
                <w:b/>
                <w:bCs/>
                <w:sz w:val="18"/>
                <w:szCs w:val="18"/>
              </w:rPr>
              <w:t>Std. Error</w:t>
            </w:r>
          </w:p>
        </w:tc>
        <w:tc>
          <w:tcPr>
            <w:tcW w:w="1600" w:type="dxa"/>
            <w:shd w:val="clear" w:color="auto" w:fill="D9D9D9"/>
            <w:vAlign w:val="center"/>
          </w:tcPr>
          <w:p w:rsidR="004B4BDC" w:rsidRDefault="007F3D57">
            <w:pPr>
              <w:jc w:val="center"/>
            </w:pPr>
            <w:r>
              <w:rPr>
                <w:b/>
                <w:bCs/>
                <w:sz w:val="18"/>
                <w:szCs w:val="18"/>
              </w:rPr>
              <w:t>t-Statistic</w:t>
            </w:r>
          </w:p>
        </w:tc>
        <w:tc>
          <w:tcPr>
            <w:tcW w:w="1200" w:type="dxa"/>
            <w:shd w:val="clear" w:color="auto" w:fill="D9D9D9"/>
            <w:vAlign w:val="center"/>
          </w:tcPr>
          <w:p w:rsidR="004B4BDC" w:rsidRDefault="007F3D57">
            <w:pPr>
              <w:jc w:val="center"/>
            </w:pPr>
            <w:r>
              <w:rPr>
                <w:b/>
                <w:bCs/>
                <w:sz w:val="18"/>
                <w:szCs w:val="18"/>
              </w:rPr>
              <w:t>Prob.</w:t>
            </w:r>
          </w:p>
        </w:tc>
      </w:tr>
      <w:tr w:rsidR="004B4BDC">
        <w:tblPrEx>
          <w:tblCellMar>
            <w:top w:w="0" w:type="dxa"/>
            <w:bottom w:w="0" w:type="dxa"/>
          </w:tblCellMar>
        </w:tblPrEx>
        <w:tc>
          <w:tcPr>
            <w:tcW w:w="2000" w:type="dxa"/>
            <w:vAlign w:val="center"/>
          </w:tcPr>
          <w:p w:rsidR="004B4BDC" w:rsidRDefault="007F3D57">
            <w:r>
              <w:rPr>
                <w:sz w:val="18"/>
                <w:szCs w:val="18"/>
              </w:rPr>
              <w:t>C</w:t>
            </w:r>
          </w:p>
        </w:tc>
        <w:tc>
          <w:tcPr>
            <w:tcW w:w="1600" w:type="dxa"/>
            <w:vAlign w:val="center"/>
          </w:tcPr>
          <w:p w:rsidR="004B4BDC" w:rsidRDefault="007F3D57">
            <w:pPr>
              <w:jc w:val="center"/>
            </w:pPr>
            <w:r>
              <w:rPr>
                <w:sz w:val="18"/>
                <w:szCs w:val="18"/>
              </w:rPr>
              <w:t>4.660799</w:t>
            </w:r>
          </w:p>
        </w:tc>
        <w:tc>
          <w:tcPr>
            <w:tcW w:w="1600" w:type="dxa"/>
            <w:vAlign w:val="center"/>
          </w:tcPr>
          <w:p w:rsidR="004B4BDC" w:rsidRDefault="007F3D57">
            <w:pPr>
              <w:jc w:val="center"/>
            </w:pPr>
            <w:r>
              <w:rPr>
                <w:sz w:val="18"/>
                <w:szCs w:val="18"/>
              </w:rPr>
              <w:t>1.856751</w:t>
            </w:r>
          </w:p>
        </w:tc>
        <w:tc>
          <w:tcPr>
            <w:tcW w:w="1600" w:type="dxa"/>
            <w:vAlign w:val="center"/>
          </w:tcPr>
          <w:p w:rsidR="004B4BDC" w:rsidRDefault="007F3D57">
            <w:pPr>
              <w:jc w:val="center"/>
            </w:pPr>
            <w:r>
              <w:rPr>
                <w:sz w:val="18"/>
                <w:szCs w:val="18"/>
              </w:rPr>
              <w:t>2.510191</w:t>
            </w:r>
          </w:p>
        </w:tc>
        <w:tc>
          <w:tcPr>
            <w:tcW w:w="1200" w:type="dxa"/>
            <w:vAlign w:val="center"/>
          </w:tcPr>
          <w:p w:rsidR="004B4BDC" w:rsidRDefault="007F3D57">
            <w:pPr>
              <w:jc w:val="center"/>
            </w:pPr>
            <w:r>
              <w:rPr>
                <w:sz w:val="18"/>
                <w:szCs w:val="18"/>
              </w:rPr>
              <w:t>0.0163</w:t>
            </w:r>
          </w:p>
        </w:tc>
      </w:tr>
      <w:tr w:rsidR="004B4BDC">
        <w:tblPrEx>
          <w:tblCellMar>
            <w:top w:w="0" w:type="dxa"/>
            <w:bottom w:w="0" w:type="dxa"/>
          </w:tblCellMar>
        </w:tblPrEx>
        <w:tc>
          <w:tcPr>
            <w:tcW w:w="2000" w:type="dxa"/>
            <w:vAlign w:val="center"/>
          </w:tcPr>
          <w:p w:rsidR="004B4BDC" w:rsidRDefault="007F3D57">
            <w:r>
              <w:rPr>
                <w:sz w:val="18"/>
                <w:szCs w:val="18"/>
              </w:rPr>
              <w:t>LOG(CR)</w:t>
            </w:r>
          </w:p>
        </w:tc>
        <w:tc>
          <w:tcPr>
            <w:tcW w:w="1600" w:type="dxa"/>
            <w:vAlign w:val="center"/>
          </w:tcPr>
          <w:p w:rsidR="004B4BDC" w:rsidRDefault="007F3D57">
            <w:pPr>
              <w:jc w:val="center"/>
            </w:pPr>
            <w:r>
              <w:rPr>
                <w:sz w:val="18"/>
                <w:szCs w:val="18"/>
              </w:rPr>
              <w:t>-0.514361</w:t>
            </w:r>
          </w:p>
        </w:tc>
        <w:tc>
          <w:tcPr>
            <w:tcW w:w="1600" w:type="dxa"/>
            <w:vAlign w:val="center"/>
          </w:tcPr>
          <w:p w:rsidR="004B4BDC" w:rsidRDefault="007F3D57">
            <w:pPr>
              <w:jc w:val="center"/>
            </w:pPr>
            <w:r>
              <w:rPr>
                <w:sz w:val="18"/>
                <w:szCs w:val="18"/>
              </w:rPr>
              <w:t>0.285358</w:t>
            </w:r>
          </w:p>
        </w:tc>
        <w:tc>
          <w:tcPr>
            <w:tcW w:w="1600" w:type="dxa"/>
            <w:vAlign w:val="center"/>
          </w:tcPr>
          <w:p w:rsidR="004B4BDC" w:rsidRDefault="007F3D57">
            <w:pPr>
              <w:jc w:val="center"/>
            </w:pPr>
            <w:r>
              <w:rPr>
                <w:sz w:val="18"/>
                <w:szCs w:val="18"/>
              </w:rPr>
              <w:t>-1.802508</w:t>
            </w:r>
          </w:p>
        </w:tc>
        <w:tc>
          <w:tcPr>
            <w:tcW w:w="1200" w:type="dxa"/>
            <w:vAlign w:val="center"/>
          </w:tcPr>
          <w:p w:rsidR="004B4BDC" w:rsidRDefault="007F3D57">
            <w:pPr>
              <w:jc w:val="center"/>
            </w:pPr>
            <w:r>
              <w:rPr>
                <w:sz w:val="18"/>
                <w:szCs w:val="18"/>
              </w:rPr>
              <w:t>0.0792</w:t>
            </w:r>
          </w:p>
        </w:tc>
      </w:tr>
      <w:tr w:rsidR="004B4BDC">
        <w:tblPrEx>
          <w:tblCellMar>
            <w:top w:w="0" w:type="dxa"/>
            <w:bottom w:w="0" w:type="dxa"/>
          </w:tblCellMar>
        </w:tblPrEx>
        <w:tc>
          <w:tcPr>
            <w:tcW w:w="2000" w:type="dxa"/>
            <w:vAlign w:val="center"/>
          </w:tcPr>
          <w:p w:rsidR="004B4BDC" w:rsidRDefault="007F3D57">
            <w:r>
              <w:rPr>
                <w:sz w:val="18"/>
                <w:szCs w:val="18"/>
              </w:rPr>
              <w:t>LOG(DER)</w:t>
            </w:r>
          </w:p>
        </w:tc>
        <w:tc>
          <w:tcPr>
            <w:tcW w:w="1600" w:type="dxa"/>
            <w:vAlign w:val="center"/>
          </w:tcPr>
          <w:p w:rsidR="004B4BDC" w:rsidRDefault="007F3D57">
            <w:pPr>
              <w:jc w:val="center"/>
            </w:pPr>
            <w:r>
              <w:rPr>
                <w:sz w:val="18"/>
                <w:szCs w:val="18"/>
              </w:rPr>
              <w:t>-0.319155</w:t>
            </w:r>
          </w:p>
        </w:tc>
        <w:tc>
          <w:tcPr>
            <w:tcW w:w="1600" w:type="dxa"/>
            <w:vAlign w:val="center"/>
          </w:tcPr>
          <w:p w:rsidR="004B4BDC" w:rsidRDefault="007F3D57">
            <w:pPr>
              <w:jc w:val="center"/>
            </w:pPr>
            <w:r>
              <w:rPr>
                <w:sz w:val="18"/>
                <w:szCs w:val="18"/>
              </w:rPr>
              <w:t>0.217400</w:t>
            </w:r>
          </w:p>
        </w:tc>
        <w:tc>
          <w:tcPr>
            <w:tcW w:w="1600" w:type="dxa"/>
            <w:vAlign w:val="center"/>
          </w:tcPr>
          <w:p w:rsidR="004B4BDC" w:rsidRDefault="007F3D57">
            <w:pPr>
              <w:jc w:val="center"/>
            </w:pPr>
            <w:r>
              <w:rPr>
                <w:sz w:val="18"/>
                <w:szCs w:val="18"/>
              </w:rPr>
              <w:t>-1.468053</w:t>
            </w:r>
          </w:p>
        </w:tc>
        <w:tc>
          <w:tcPr>
            <w:tcW w:w="1200" w:type="dxa"/>
            <w:vAlign w:val="center"/>
          </w:tcPr>
          <w:p w:rsidR="004B4BDC" w:rsidRDefault="007F3D57">
            <w:pPr>
              <w:jc w:val="center"/>
            </w:pPr>
            <w:r>
              <w:rPr>
                <w:sz w:val="18"/>
                <w:szCs w:val="18"/>
              </w:rPr>
              <w:t>0.1501</w:t>
            </w:r>
          </w:p>
        </w:tc>
      </w:tr>
      <w:tr w:rsidR="004B4BDC">
        <w:tblPrEx>
          <w:tblCellMar>
            <w:top w:w="0" w:type="dxa"/>
            <w:bottom w:w="0" w:type="dxa"/>
          </w:tblCellMar>
        </w:tblPrEx>
        <w:tc>
          <w:tcPr>
            <w:tcW w:w="2000" w:type="dxa"/>
            <w:vAlign w:val="center"/>
          </w:tcPr>
          <w:p w:rsidR="004B4BDC" w:rsidRDefault="007F3D57">
            <w:r>
              <w:rPr>
                <w:sz w:val="18"/>
                <w:szCs w:val="18"/>
              </w:rPr>
              <w:t>LOG(TATO)</w:t>
            </w:r>
          </w:p>
        </w:tc>
        <w:tc>
          <w:tcPr>
            <w:tcW w:w="1600" w:type="dxa"/>
            <w:vAlign w:val="center"/>
          </w:tcPr>
          <w:p w:rsidR="004B4BDC" w:rsidRDefault="007F3D57">
            <w:pPr>
              <w:jc w:val="center"/>
            </w:pPr>
            <w:r>
              <w:rPr>
                <w:sz w:val="18"/>
                <w:szCs w:val="18"/>
              </w:rPr>
              <w:t>0.142149</w:t>
            </w:r>
          </w:p>
        </w:tc>
        <w:tc>
          <w:tcPr>
            <w:tcW w:w="1600" w:type="dxa"/>
            <w:vAlign w:val="center"/>
          </w:tcPr>
          <w:p w:rsidR="004B4BDC" w:rsidRDefault="007F3D57">
            <w:pPr>
              <w:jc w:val="center"/>
            </w:pPr>
            <w:r>
              <w:rPr>
                <w:sz w:val="18"/>
                <w:szCs w:val="18"/>
              </w:rPr>
              <w:t>0.326946</w:t>
            </w:r>
          </w:p>
        </w:tc>
        <w:tc>
          <w:tcPr>
            <w:tcW w:w="1600" w:type="dxa"/>
            <w:vAlign w:val="center"/>
          </w:tcPr>
          <w:p w:rsidR="004B4BDC" w:rsidRDefault="007F3D57">
            <w:pPr>
              <w:jc w:val="center"/>
            </w:pPr>
            <w:r>
              <w:rPr>
                <w:sz w:val="18"/>
                <w:szCs w:val="18"/>
              </w:rPr>
              <w:t>0.434777</w:t>
            </w:r>
          </w:p>
        </w:tc>
        <w:tc>
          <w:tcPr>
            <w:tcW w:w="1200" w:type="dxa"/>
            <w:vAlign w:val="center"/>
          </w:tcPr>
          <w:p w:rsidR="004B4BDC" w:rsidRDefault="007F3D57">
            <w:pPr>
              <w:jc w:val="center"/>
            </w:pPr>
            <w:r>
              <w:rPr>
                <w:sz w:val="18"/>
                <w:szCs w:val="18"/>
              </w:rPr>
              <w:t>0.6661</w:t>
            </w:r>
          </w:p>
        </w:tc>
      </w:tr>
      <w:tr w:rsidR="004B4BDC">
        <w:tblPrEx>
          <w:tblCellMar>
            <w:top w:w="0" w:type="dxa"/>
            <w:bottom w:w="0" w:type="dxa"/>
          </w:tblCellMar>
        </w:tblPrEx>
        <w:tc>
          <w:tcPr>
            <w:tcW w:w="2000" w:type="dxa"/>
            <w:vAlign w:val="center"/>
          </w:tcPr>
          <w:p w:rsidR="004B4BDC" w:rsidRDefault="007F3D57">
            <w:r>
              <w:rPr>
                <w:sz w:val="18"/>
                <w:szCs w:val="18"/>
              </w:rPr>
              <w:t>LOG(NPM)</w:t>
            </w:r>
          </w:p>
        </w:tc>
        <w:tc>
          <w:tcPr>
            <w:tcW w:w="1600" w:type="dxa"/>
            <w:vAlign w:val="center"/>
          </w:tcPr>
          <w:p w:rsidR="004B4BDC" w:rsidRDefault="007F3D57">
            <w:pPr>
              <w:jc w:val="center"/>
            </w:pPr>
            <w:r>
              <w:rPr>
                <w:sz w:val="18"/>
                <w:szCs w:val="18"/>
              </w:rPr>
              <w:t>-0.013844</w:t>
            </w:r>
          </w:p>
        </w:tc>
        <w:tc>
          <w:tcPr>
            <w:tcW w:w="1600" w:type="dxa"/>
            <w:vAlign w:val="center"/>
          </w:tcPr>
          <w:p w:rsidR="004B4BDC" w:rsidRDefault="007F3D57">
            <w:pPr>
              <w:jc w:val="center"/>
            </w:pPr>
            <w:r>
              <w:rPr>
                <w:sz w:val="18"/>
                <w:szCs w:val="18"/>
              </w:rPr>
              <w:t>0.110385</w:t>
            </w:r>
          </w:p>
        </w:tc>
        <w:tc>
          <w:tcPr>
            <w:tcW w:w="1600" w:type="dxa"/>
            <w:vAlign w:val="center"/>
          </w:tcPr>
          <w:p w:rsidR="004B4BDC" w:rsidRDefault="007F3D57">
            <w:pPr>
              <w:jc w:val="center"/>
            </w:pPr>
            <w:r>
              <w:rPr>
                <w:sz w:val="18"/>
                <w:szCs w:val="18"/>
              </w:rPr>
              <w:t>-0.125417</w:t>
            </w:r>
          </w:p>
        </w:tc>
        <w:tc>
          <w:tcPr>
            <w:tcW w:w="1200" w:type="dxa"/>
            <w:vAlign w:val="center"/>
          </w:tcPr>
          <w:p w:rsidR="004B4BDC" w:rsidRDefault="007F3D57">
            <w:pPr>
              <w:jc w:val="center"/>
            </w:pPr>
            <w:r>
              <w:rPr>
                <w:sz w:val="18"/>
                <w:szCs w:val="18"/>
              </w:rPr>
              <w:t>0.9008</w:t>
            </w:r>
          </w:p>
        </w:tc>
      </w:tr>
    </w:tbl>
    <w:p w:rsidR="004B4BDC" w:rsidRDefault="007F3D57">
      <w:pPr>
        <w:spacing w:before="20" w:after="160"/>
        <w:jc w:val="center"/>
      </w:pPr>
      <w:r>
        <w:rPr>
          <w:i/>
          <w:iCs/>
          <w:sz w:val="18"/>
          <w:szCs w:val="18"/>
        </w:rPr>
        <w:t>Sumber: Data diolah dengan Eviews 13 (2026). F-statistic = 1.109963, Prob. F(4,39) = 0.3656.</w:t>
      </w:r>
    </w:p>
    <w:p w:rsidR="004B4BDC" w:rsidRDefault="007F3D57">
      <w:pPr>
        <w:spacing w:after="120"/>
        <w:ind w:firstLine="425"/>
        <w:jc w:val="both"/>
      </w:pPr>
      <w:r>
        <w:t xml:space="preserve">Uji heteroskedastisitas dengan </w:t>
      </w:r>
      <w:r>
        <w:rPr>
          <w:i/>
          <w:iCs/>
        </w:rPr>
        <w:t>Glejser test</w:t>
      </w:r>
      <w:r>
        <w:t xml:space="preserve"> menunjukkan nilai </w:t>
      </w:r>
      <w:r>
        <w:rPr>
          <w:i/>
          <w:iCs/>
        </w:rPr>
        <w:t>probability</w:t>
      </w:r>
      <w:r>
        <w:t xml:space="preserve"> F-statistic sebesar 0,3656 (&gt; 0,05), yang menyatakan varian residual bersifat homogen. Uji autokorelasi dengan </w:t>
      </w:r>
      <w:r>
        <w:rPr>
          <w:i/>
          <w:iCs/>
        </w:rPr>
        <w:t>Breusch-Godfrey LM test</w:t>
      </w:r>
      <w:r>
        <w:t xml:space="preserve"> menunjukkan </w:t>
      </w:r>
      <w:r>
        <w:rPr>
          <w:i/>
          <w:iCs/>
        </w:rPr>
        <w:t>probability</w:t>
      </w:r>
      <w:r>
        <w:t xml:space="preserve"> sebesar 0,253 (&gt; 0,05), yang mengindikasikan tidak terdapat gejala autokorelasi. Deng</w:t>
      </w:r>
      <w:r>
        <w:t>an demikian, model memenuhi seluruh asumsi klasik dan layak digunakan untuk analisis lanjutan.</w:t>
      </w:r>
    </w:p>
    <w:p w:rsidR="000B571A" w:rsidRDefault="000B571A">
      <w:pPr>
        <w:spacing w:after="120"/>
        <w:ind w:firstLine="425"/>
        <w:jc w:val="both"/>
      </w:pPr>
    </w:p>
    <w:p w:rsidR="004B4BDC" w:rsidRDefault="007F3D57">
      <w:pPr>
        <w:spacing w:before="200" w:after="120"/>
      </w:pPr>
      <w:r>
        <w:rPr>
          <w:b/>
          <w:bCs/>
        </w:rPr>
        <w:lastRenderedPageBreak/>
        <w:t>3.3. Pemilihan Model Regresi Data Panel</w:t>
      </w:r>
    </w:p>
    <w:p w:rsidR="004B4BDC" w:rsidRDefault="007F3D57">
      <w:pPr>
        <w:spacing w:after="120"/>
        <w:ind w:firstLine="425"/>
        <w:jc w:val="both"/>
      </w:pPr>
      <w:r>
        <w:t xml:space="preserve">Hasil uji </w:t>
      </w:r>
      <w:r>
        <w:rPr>
          <w:i/>
          <w:iCs/>
        </w:rPr>
        <w:t>Chow</w:t>
      </w:r>
      <w:r>
        <w:t xml:space="preserve"> menunjukkan </w:t>
      </w:r>
      <w:r>
        <w:rPr>
          <w:i/>
          <w:iCs/>
        </w:rPr>
        <w:t>probability</w:t>
      </w:r>
      <w:r>
        <w:t xml:space="preserve"> sebesar 0,156 (&gt; 0,05), yang mengindikasikan bahwa </w:t>
      </w:r>
      <w:r>
        <w:rPr>
          <w:i/>
          <w:iCs/>
        </w:rPr>
        <w:t>Common Effect Model</w:t>
      </w:r>
      <w:r>
        <w:t xml:space="preserve"> lebih sesua</w:t>
      </w:r>
      <w:r>
        <w:t xml:space="preserve">i dibandingkan </w:t>
      </w:r>
      <w:r>
        <w:rPr>
          <w:i/>
          <w:iCs/>
        </w:rPr>
        <w:t>Fixed Effect Model</w:t>
      </w:r>
      <w:r>
        <w:t>.</w:t>
      </w:r>
    </w:p>
    <w:p w:rsidR="004B4BDC" w:rsidRDefault="007F3D57">
      <w:pPr>
        <w:spacing w:before="80" w:after="100"/>
        <w:jc w:val="center"/>
      </w:pPr>
      <w:r>
        <w:rPr>
          <w:b/>
          <w:bCs/>
        </w:rPr>
        <w:t>Table 4. Hasil Uji Chow</w:t>
      </w:r>
    </w:p>
    <w:tbl>
      <w:tblPr>
        <w:tblW w:w="800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2000"/>
        <w:gridCol w:w="1600"/>
        <w:gridCol w:w="1400"/>
      </w:tblGrid>
      <w:tr w:rsidR="004B4BDC">
        <w:tblPrEx>
          <w:tblCellMar>
            <w:top w:w="0" w:type="dxa"/>
            <w:bottom w:w="0" w:type="dxa"/>
          </w:tblCellMar>
        </w:tblPrEx>
        <w:trPr>
          <w:tblHeader/>
        </w:trPr>
        <w:tc>
          <w:tcPr>
            <w:tcW w:w="3000" w:type="dxa"/>
            <w:shd w:val="clear" w:color="auto" w:fill="D9D9D9"/>
            <w:vAlign w:val="center"/>
          </w:tcPr>
          <w:p w:rsidR="004B4BDC" w:rsidRDefault="007F3D57">
            <w:pPr>
              <w:jc w:val="center"/>
            </w:pPr>
            <w:r>
              <w:rPr>
                <w:b/>
                <w:bCs/>
                <w:sz w:val="18"/>
                <w:szCs w:val="18"/>
              </w:rPr>
              <w:t>Effects Test</w:t>
            </w:r>
          </w:p>
        </w:tc>
        <w:tc>
          <w:tcPr>
            <w:tcW w:w="2000" w:type="dxa"/>
            <w:shd w:val="clear" w:color="auto" w:fill="D9D9D9"/>
            <w:vAlign w:val="center"/>
          </w:tcPr>
          <w:p w:rsidR="004B4BDC" w:rsidRDefault="007F3D57">
            <w:pPr>
              <w:jc w:val="center"/>
            </w:pPr>
            <w:r>
              <w:rPr>
                <w:b/>
                <w:bCs/>
                <w:sz w:val="18"/>
                <w:szCs w:val="18"/>
              </w:rPr>
              <w:t>Statistic</w:t>
            </w:r>
          </w:p>
        </w:tc>
        <w:tc>
          <w:tcPr>
            <w:tcW w:w="1600" w:type="dxa"/>
            <w:shd w:val="clear" w:color="auto" w:fill="D9D9D9"/>
            <w:vAlign w:val="center"/>
          </w:tcPr>
          <w:p w:rsidR="004B4BDC" w:rsidRDefault="007F3D57">
            <w:pPr>
              <w:jc w:val="center"/>
            </w:pPr>
            <w:r>
              <w:rPr>
                <w:b/>
                <w:bCs/>
                <w:sz w:val="18"/>
                <w:szCs w:val="18"/>
              </w:rPr>
              <w:t>d.f.</w:t>
            </w:r>
          </w:p>
        </w:tc>
        <w:tc>
          <w:tcPr>
            <w:tcW w:w="1400" w:type="dxa"/>
            <w:shd w:val="clear" w:color="auto" w:fill="D9D9D9"/>
            <w:vAlign w:val="center"/>
          </w:tcPr>
          <w:p w:rsidR="004B4BDC" w:rsidRDefault="007F3D57">
            <w:pPr>
              <w:jc w:val="center"/>
            </w:pPr>
            <w:r>
              <w:rPr>
                <w:b/>
                <w:bCs/>
                <w:sz w:val="18"/>
                <w:szCs w:val="18"/>
              </w:rPr>
              <w:t>Prob.</w:t>
            </w:r>
          </w:p>
        </w:tc>
      </w:tr>
      <w:tr w:rsidR="004B4BDC">
        <w:tblPrEx>
          <w:tblCellMar>
            <w:top w:w="0" w:type="dxa"/>
            <w:bottom w:w="0" w:type="dxa"/>
          </w:tblCellMar>
        </w:tblPrEx>
        <w:tc>
          <w:tcPr>
            <w:tcW w:w="3000" w:type="dxa"/>
            <w:vAlign w:val="center"/>
          </w:tcPr>
          <w:p w:rsidR="004B4BDC" w:rsidRDefault="007F3D57">
            <w:r>
              <w:rPr>
                <w:sz w:val="18"/>
                <w:szCs w:val="18"/>
              </w:rPr>
              <w:t>Cross-section F</w:t>
            </w:r>
          </w:p>
        </w:tc>
        <w:tc>
          <w:tcPr>
            <w:tcW w:w="2000" w:type="dxa"/>
            <w:vAlign w:val="center"/>
          </w:tcPr>
          <w:p w:rsidR="004B4BDC" w:rsidRDefault="007F3D57">
            <w:pPr>
              <w:jc w:val="center"/>
            </w:pPr>
            <w:r>
              <w:rPr>
                <w:sz w:val="18"/>
                <w:szCs w:val="18"/>
              </w:rPr>
              <w:t>22.421827</w:t>
            </w:r>
          </w:p>
        </w:tc>
        <w:tc>
          <w:tcPr>
            <w:tcW w:w="1600" w:type="dxa"/>
            <w:vAlign w:val="center"/>
          </w:tcPr>
          <w:p w:rsidR="004B4BDC" w:rsidRDefault="007F3D57">
            <w:pPr>
              <w:jc w:val="center"/>
            </w:pPr>
            <w:r>
              <w:rPr>
                <w:sz w:val="18"/>
                <w:szCs w:val="18"/>
              </w:rPr>
              <w:t>(9,26)</w:t>
            </w:r>
          </w:p>
        </w:tc>
        <w:tc>
          <w:tcPr>
            <w:tcW w:w="1400" w:type="dxa"/>
            <w:vAlign w:val="center"/>
          </w:tcPr>
          <w:p w:rsidR="004B4BDC" w:rsidRDefault="007F3D57">
            <w:pPr>
              <w:jc w:val="center"/>
            </w:pPr>
            <w:r>
              <w:rPr>
                <w:sz w:val="18"/>
                <w:szCs w:val="18"/>
              </w:rPr>
              <w:t>0.0000</w:t>
            </w:r>
          </w:p>
        </w:tc>
      </w:tr>
      <w:tr w:rsidR="004B4BDC">
        <w:tblPrEx>
          <w:tblCellMar>
            <w:top w:w="0" w:type="dxa"/>
            <w:bottom w:w="0" w:type="dxa"/>
          </w:tblCellMar>
        </w:tblPrEx>
        <w:tc>
          <w:tcPr>
            <w:tcW w:w="3000" w:type="dxa"/>
            <w:vAlign w:val="center"/>
          </w:tcPr>
          <w:p w:rsidR="004B4BDC" w:rsidRDefault="007F3D57">
            <w:r>
              <w:rPr>
                <w:sz w:val="18"/>
                <w:szCs w:val="18"/>
              </w:rPr>
              <w:t>Cross-section Chi-square</w:t>
            </w:r>
          </w:p>
        </w:tc>
        <w:tc>
          <w:tcPr>
            <w:tcW w:w="2000" w:type="dxa"/>
            <w:vAlign w:val="center"/>
          </w:tcPr>
          <w:p w:rsidR="004B4BDC" w:rsidRDefault="007F3D57">
            <w:pPr>
              <w:jc w:val="center"/>
            </w:pPr>
            <w:r>
              <w:rPr>
                <w:sz w:val="18"/>
                <w:szCs w:val="18"/>
              </w:rPr>
              <w:t>86.814236</w:t>
            </w:r>
          </w:p>
        </w:tc>
        <w:tc>
          <w:tcPr>
            <w:tcW w:w="1600" w:type="dxa"/>
            <w:vAlign w:val="center"/>
          </w:tcPr>
          <w:p w:rsidR="004B4BDC" w:rsidRDefault="007F3D57">
            <w:pPr>
              <w:jc w:val="center"/>
            </w:pPr>
            <w:r>
              <w:rPr>
                <w:sz w:val="18"/>
                <w:szCs w:val="18"/>
              </w:rPr>
              <w:t>9</w:t>
            </w:r>
          </w:p>
        </w:tc>
        <w:tc>
          <w:tcPr>
            <w:tcW w:w="1400" w:type="dxa"/>
            <w:vAlign w:val="center"/>
          </w:tcPr>
          <w:p w:rsidR="004B4BDC" w:rsidRDefault="007F3D57">
            <w:pPr>
              <w:jc w:val="center"/>
            </w:pPr>
            <w:r>
              <w:rPr>
                <w:sz w:val="18"/>
                <w:szCs w:val="18"/>
              </w:rPr>
              <w:t>0.0000</w:t>
            </w:r>
          </w:p>
        </w:tc>
      </w:tr>
    </w:tbl>
    <w:p w:rsidR="004B4BDC" w:rsidRDefault="007F3D57">
      <w:pPr>
        <w:spacing w:before="20" w:after="160"/>
        <w:jc w:val="center"/>
      </w:pPr>
      <w:r>
        <w:rPr>
          <w:i/>
          <w:iCs/>
          <w:sz w:val="18"/>
          <w:szCs w:val="18"/>
        </w:rPr>
        <w:t>Sumber: Data diolah dengan Eviews 13 (2026)</w:t>
      </w:r>
    </w:p>
    <w:p w:rsidR="004B4BDC" w:rsidRDefault="007F3D57">
      <w:pPr>
        <w:spacing w:after="120"/>
        <w:ind w:firstLine="425"/>
        <w:jc w:val="both"/>
      </w:pPr>
      <w:r>
        <w:t xml:space="preserve">Uji </w:t>
      </w:r>
      <w:r>
        <w:rPr>
          <w:i/>
          <w:iCs/>
        </w:rPr>
        <w:t>Hausman</w:t>
      </w:r>
      <w:r>
        <w:t xml:space="preserve"> menghasilkan </w:t>
      </w:r>
      <w:r>
        <w:rPr>
          <w:i/>
          <w:iCs/>
        </w:rPr>
        <w:t>probability</w:t>
      </w:r>
      <w:r>
        <w:t xml:space="preserve"> sebesar 0,5550 (&gt; 0,05), yang memvalidasi penggunaan </w:t>
      </w:r>
      <w:r>
        <w:rPr>
          <w:i/>
          <w:iCs/>
        </w:rPr>
        <w:t>Random Effect Model</w:t>
      </w:r>
      <w:r>
        <w:t xml:space="preserve"> sebagai alternatif.</w:t>
      </w:r>
    </w:p>
    <w:p w:rsidR="004B4BDC" w:rsidRDefault="007F3D57">
      <w:pPr>
        <w:spacing w:before="80" w:after="100"/>
        <w:jc w:val="center"/>
      </w:pPr>
      <w:r>
        <w:rPr>
          <w:b/>
          <w:bCs/>
        </w:rPr>
        <w:t>Table 5. Hasil Uji Hausman</w:t>
      </w:r>
    </w:p>
    <w:tbl>
      <w:tblPr>
        <w:tblW w:w="800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2000"/>
        <w:gridCol w:w="1600"/>
        <w:gridCol w:w="1400"/>
      </w:tblGrid>
      <w:tr w:rsidR="004B4BDC">
        <w:tblPrEx>
          <w:tblCellMar>
            <w:top w:w="0" w:type="dxa"/>
            <w:bottom w:w="0" w:type="dxa"/>
          </w:tblCellMar>
        </w:tblPrEx>
        <w:trPr>
          <w:tblHeader/>
        </w:trPr>
        <w:tc>
          <w:tcPr>
            <w:tcW w:w="3000" w:type="dxa"/>
            <w:shd w:val="clear" w:color="auto" w:fill="D9D9D9"/>
            <w:vAlign w:val="center"/>
          </w:tcPr>
          <w:p w:rsidR="004B4BDC" w:rsidRDefault="007F3D57">
            <w:pPr>
              <w:jc w:val="center"/>
            </w:pPr>
            <w:r>
              <w:rPr>
                <w:b/>
                <w:bCs/>
                <w:sz w:val="18"/>
                <w:szCs w:val="18"/>
              </w:rPr>
              <w:t>Test Summary</w:t>
            </w:r>
          </w:p>
        </w:tc>
        <w:tc>
          <w:tcPr>
            <w:tcW w:w="2000" w:type="dxa"/>
            <w:shd w:val="clear" w:color="auto" w:fill="D9D9D9"/>
            <w:vAlign w:val="center"/>
          </w:tcPr>
          <w:p w:rsidR="004B4BDC" w:rsidRDefault="007F3D57">
            <w:pPr>
              <w:jc w:val="center"/>
            </w:pPr>
            <w:r>
              <w:rPr>
                <w:b/>
                <w:bCs/>
                <w:sz w:val="18"/>
                <w:szCs w:val="18"/>
              </w:rPr>
              <w:t>Chi-Sq. Statistic</w:t>
            </w:r>
          </w:p>
        </w:tc>
        <w:tc>
          <w:tcPr>
            <w:tcW w:w="1600" w:type="dxa"/>
            <w:shd w:val="clear" w:color="auto" w:fill="D9D9D9"/>
            <w:vAlign w:val="center"/>
          </w:tcPr>
          <w:p w:rsidR="004B4BDC" w:rsidRDefault="007F3D57">
            <w:pPr>
              <w:jc w:val="center"/>
            </w:pPr>
            <w:r>
              <w:rPr>
                <w:b/>
                <w:bCs/>
                <w:sz w:val="18"/>
                <w:szCs w:val="18"/>
              </w:rPr>
              <w:t>Chi-Sq. d.f.</w:t>
            </w:r>
          </w:p>
        </w:tc>
        <w:tc>
          <w:tcPr>
            <w:tcW w:w="1400" w:type="dxa"/>
            <w:shd w:val="clear" w:color="auto" w:fill="D9D9D9"/>
            <w:vAlign w:val="center"/>
          </w:tcPr>
          <w:p w:rsidR="004B4BDC" w:rsidRDefault="007F3D57">
            <w:pPr>
              <w:jc w:val="center"/>
            </w:pPr>
            <w:r>
              <w:rPr>
                <w:b/>
                <w:bCs/>
                <w:sz w:val="18"/>
                <w:szCs w:val="18"/>
              </w:rPr>
              <w:t>Prob.</w:t>
            </w:r>
          </w:p>
        </w:tc>
      </w:tr>
      <w:tr w:rsidR="004B4BDC">
        <w:tblPrEx>
          <w:tblCellMar>
            <w:top w:w="0" w:type="dxa"/>
            <w:bottom w:w="0" w:type="dxa"/>
          </w:tblCellMar>
        </w:tblPrEx>
        <w:tc>
          <w:tcPr>
            <w:tcW w:w="3000" w:type="dxa"/>
            <w:vAlign w:val="center"/>
          </w:tcPr>
          <w:p w:rsidR="004B4BDC" w:rsidRDefault="007F3D57">
            <w:r>
              <w:rPr>
                <w:sz w:val="18"/>
                <w:szCs w:val="18"/>
              </w:rPr>
              <w:t>Cross-section random</w:t>
            </w:r>
          </w:p>
        </w:tc>
        <w:tc>
          <w:tcPr>
            <w:tcW w:w="2000" w:type="dxa"/>
            <w:vAlign w:val="center"/>
          </w:tcPr>
          <w:p w:rsidR="004B4BDC" w:rsidRDefault="007F3D57">
            <w:pPr>
              <w:jc w:val="center"/>
            </w:pPr>
            <w:r>
              <w:rPr>
                <w:sz w:val="18"/>
                <w:szCs w:val="18"/>
              </w:rPr>
              <w:t>3.016652</w:t>
            </w:r>
          </w:p>
        </w:tc>
        <w:tc>
          <w:tcPr>
            <w:tcW w:w="1600" w:type="dxa"/>
            <w:vAlign w:val="center"/>
          </w:tcPr>
          <w:p w:rsidR="004B4BDC" w:rsidRDefault="007F3D57">
            <w:pPr>
              <w:jc w:val="center"/>
            </w:pPr>
            <w:r>
              <w:rPr>
                <w:sz w:val="18"/>
                <w:szCs w:val="18"/>
              </w:rPr>
              <w:t>4</w:t>
            </w:r>
          </w:p>
        </w:tc>
        <w:tc>
          <w:tcPr>
            <w:tcW w:w="1400" w:type="dxa"/>
            <w:vAlign w:val="center"/>
          </w:tcPr>
          <w:p w:rsidR="004B4BDC" w:rsidRDefault="007F3D57">
            <w:pPr>
              <w:jc w:val="center"/>
            </w:pPr>
            <w:r>
              <w:rPr>
                <w:sz w:val="18"/>
                <w:szCs w:val="18"/>
              </w:rPr>
              <w:t>0.5550</w:t>
            </w:r>
          </w:p>
        </w:tc>
      </w:tr>
    </w:tbl>
    <w:p w:rsidR="004B4BDC" w:rsidRDefault="007F3D57">
      <w:pPr>
        <w:spacing w:before="20" w:after="160"/>
        <w:jc w:val="center"/>
      </w:pPr>
      <w:r>
        <w:rPr>
          <w:i/>
          <w:iCs/>
          <w:sz w:val="18"/>
          <w:szCs w:val="18"/>
        </w:rPr>
        <w:t>Sumber: Data diolah dengan Eviews 13 (2026)</w:t>
      </w:r>
    </w:p>
    <w:p w:rsidR="004B4BDC" w:rsidRDefault="007F3D57">
      <w:pPr>
        <w:spacing w:after="120"/>
        <w:ind w:firstLine="425"/>
        <w:jc w:val="both"/>
      </w:pPr>
      <w:r>
        <w:t xml:space="preserve">Uji </w:t>
      </w:r>
      <w:r>
        <w:rPr>
          <w:i/>
          <w:iCs/>
        </w:rPr>
        <w:t>Lagrange Multiplier</w:t>
      </w:r>
      <w:r>
        <w:t xml:space="preserve"> menunjukkan </w:t>
      </w:r>
      <w:r>
        <w:rPr>
          <w:i/>
          <w:iCs/>
        </w:rPr>
        <w:t>probability</w:t>
      </w:r>
      <w:r>
        <w:t xml:space="preserve"> sebesar 0,089 (&gt; 0,05), yang menyatakan bahwa </w:t>
      </w:r>
      <w:r>
        <w:rPr>
          <w:i/>
          <w:iCs/>
        </w:rPr>
        <w:t>Common Effect Model</w:t>
      </w:r>
      <w:r>
        <w:t xml:space="preserve"> lebih tepat dibandingkan </w:t>
      </w:r>
      <w:r>
        <w:rPr>
          <w:i/>
          <w:iCs/>
        </w:rPr>
        <w:t>Random Effect Model</w:t>
      </w:r>
      <w:r>
        <w:t>.</w:t>
      </w:r>
    </w:p>
    <w:p w:rsidR="004B4BDC" w:rsidRDefault="007F3D57">
      <w:pPr>
        <w:spacing w:before="80" w:after="100"/>
        <w:jc w:val="center"/>
      </w:pPr>
      <w:r>
        <w:rPr>
          <w:b/>
          <w:bCs/>
        </w:rPr>
        <w:t>Table 6. Hasil Uji Lagrange Multiplier</w:t>
      </w:r>
    </w:p>
    <w:tbl>
      <w:tblPr>
        <w:tblW w:w="800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2000"/>
        <w:gridCol w:w="2000"/>
        <w:gridCol w:w="1600"/>
      </w:tblGrid>
      <w:tr w:rsidR="004B4BDC">
        <w:tblPrEx>
          <w:tblCellMar>
            <w:top w:w="0" w:type="dxa"/>
            <w:bottom w:w="0" w:type="dxa"/>
          </w:tblCellMar>
        </w:tblPrEx>
        <w:trPr>
          <w:tblHeader/>
        </w:trPr>
        <w:tc>
          <w:tcPr>
            <w:tcW w:w="2400" w:type="dxa"/>
            <w:shd w:val="clear" w:color="auto" w:fill="D9D9D9"/>
            <w:vAlign w:val="center"/>
          </w:tcPr>
          <w:p w:rsidR="004B4BDC" w:rsidRDefault="007F3D57">
            <w:pPr>
              <w:jc w:val="center"/>
            </w:pPr>
            <w:r>
              <w:rPr>
                <w:b/>
                <w:bCs/>
                <w:sz w:val="18"/>
                <w:szCs w:val="18"/>
              </w:rPr>
              <w:t>Test Hypothes</w:t>
            </w:r>
            <w:r>
              <w:rPr>
                <w:b/>
                <w:bCs/>
                <w:sz w:val="18"/>
                <w:szCs w:val="18"/>
              </w:rPr>
              <w:t>is</w:t>
            </w:r>
          </w:p>
        </w:tc>
        <w:tc>
          <w:tcPr>
            <w:tcW w:w="2000" w:type="dxa"/>
            <w:shd w:val="clear" w:color="auto" w:fill="D9D9D9"/>
            <w:vAlign w:val="center"/>
          </w:tcPr>
          <w:p w:rsidR="004B4BDC" w:rsidRDefault="007F3D57">
            <w:pPr>
              <w:jc w:val="center"/>
            </w:pPr>
            <w:r>
              <w:rPr>
                <w:b/>
                <w:bCs/>
                <w:sz w:val="18"/>
                <w:szCs w:val="18"/>
              </w:rPr>
              <w:t>Cross-section</w:t>
            </w:r>
          </w:p>
        </w:tc>
        <w:tc>
          <w:tcPr>
            <w:tcW w:w="2000" w:type="dxa"/>
            <w:shd w:val="clear" w:color="auto" w:fill="D9D9D9"/>
            <w:vAlign w:val="center"/>
          </w:tcPr>
          <w:p w:rsidR="004B4BDC" w:rsidRDefault="007F3D57">
            <w:pPr>
              <w:jc w:val="center"/>
            </w:pPr>
            <w:r>
              <w:rPr>
                <w:b/>
                <w:bCs/>
                <w:sz w:val="18"/>
                <w:szCs w:val="18"/>
              </w:rPr>
              <w:t>Time</w:t>
            </w:r>
          </w:p>
        </w:tc>
        <w:tc>
          <w:tcPr>
            <w:tcW w:w="1600" w:type="dxa"/>
            <w:shd w:val="clear" w:color="auto" w:fill="D9D9D9"/>
            <w:vAlign w:val="center"/>
          </w:tcPr>
          <w:p w:rsidR="004B4BDC" w:rsidRDefault="007F3D57">
            <w:pPr>
              <w:jc w:val="center"/>
            </w:pPr>
            <w:r>
              <w:rPr>
                <w:b/>
                <w:bCs/>
                <w:sz w:val="18"/>
                <w:szCs w:val="18"/>
              </w:rPr>
              <w:t>Both</w:t>
            </w:r>
          </w:p>
        </w:tc>
      </w:tr>
      <w:tr w:rsidR="004B4BDC">
        <w:tblPrEx>
          <w:tblCellMar>
            <w:top w:w="0" w:type="dxa"/>
            <w:bottom w:w="0" w:type="dxa"/>
          </w:tblCellMar>
        </w:tblPrEx>
        <w:tc>
          <w:tcPr>
            <w:tcW w:w="2400" w:type="dxa"/>
            <w:vAlign w:val="center"/>
          </w:tcPr>
          <w:p w:rsidR="004B4BDC" w:rsidRDefault="007F3D57">
            <w:r>
              <w:rPr>
                <w:sz w:val="18"/>
                <w:szCs w:val="18"/>
              </w:rPr>
              <w:t>Breusch-Pagan</w:t>
            </w:r>
          </w:p>
        </w:tc>
        <w:tc>
          <w:tcPr>
            <w:tcW w:w="2000" w:type="dxa"/>
            <w:vAlign w:val="center"/>
          </w:tcPr>
          <w:p w:rsidR="004B4BDC" w:rsidRDefault="007F3D57">
            <w:pPr>
              <w:jc w:val="center"/>
            </w:pPr>
            <w:r>
              <w:rPr>
                <w:sz w:val="18"/>
                <w:szCs w:val="18"/>
              </w:rPr>
              <w:t>39.58277 (0.0000)</w:t>
            </w:r>
          </w:p>
        </w:tc>
        <w:tc>
          <w:tcPr>
            <w:tcW w:w="2000" w:type="dxa"/>
            <w:vAlign w:val="center"/>
          </w:tcPr>
          <w:p w:rsidR="004B4BDC" w:rsidRDefault="007F3D57">
            <w:pPr>
              <w:jc w:val="center"/>
            </w:pPr>
            <w:r>
              <w:rPr>
                <w:sz w:val="18"/>
                <w:szCs w:val="18"/>
              </w:rPr>
              <w:t>1.848872 (0.1739)</w:t>
            </w:r>
          </w:p>
        </w:tc>
        <w:tc>
          <w:tcPr>
            <w:tcW w:w="1600" w:type="dxa"/>
            <w:vAlign w:val="center"/>
          </w:tcPr>
          <w:p w:rsidR="004B4BDC" w:rsidRDefault="007F3D57">
            <w:pPr>
              <w:jc w:val="center"/>
            </w:pPr>
            <w:r>
              <w:rPr>
                <w:sz w:val="18"/>
                <w:szCs w:val="18"/>
              </w:rPr>
              <w:t>41.43164 (0.0000)</w:t>
            </w:r>
          </w:p>
        </w:tc>
      </w:tr>
      <w:tr w:rsidR="004B4BDC">
        <w:tblPrEx>
          <w:tblCellMar>
            <w:top w:w="0" w:type="dxa"/>
            <w:bottom w:w="0" w:type="dxa"/>
          </w:tblCellMar>
        </w:tblPrEx>
        <w:tc>
          <w:tcPr>
            <w:tcW w:w="2400" w:type="dxa"/>
            <w:vAlign w:val="center"/>
          </w:tcPr>
          <w:p w:rsidR="004B4BDC" w:rsidRDefault="007F3D57">
            <w:r>
              <w:rPr>
                <w:sz w:val="18"/>
                <w:szCs w:val="18"/>
              </w:rPr>
              <w:t>Honda</w:t>
            </w:r>
          </w:p>
        </w:tc>
        <w:tc>
          <w:tcPr>
            <w:tcW w:w="2000" w:type="dxa"/>
            <w:vAlign w:val="center"/>
          </w:tcPr>
          <w:p w:rsidR="004B4BDC" w:rsidRDefault="007F3D57">
            <w:pPr>
              <w:jc w:val="center"/>
            </w:pPr>
            <w:r>
              <w:rPr>
                <w:sz w:val="18"/>
                <w:szCs w:val="18"/>
              </w:rPr>
              <w:t>6.291484 (0.0000)</w:t>
            </w:r>
          </w:p>
        </w:tc>
        <w:tc>
          <w:tcPr>
            <w:tcW w:w="2000" w:type="dxa"/>
            <w:vAlign w:val="center"/>
          </w:tcPr>
          <w:p w:rsidR="004B4BDC" w:rsidRDefault="007F3D57">
            <w:pPr>
              <w:jc w:val="center"/>
            </w:pPr>
            <w:r>
              <w:rPr>
                <w:sz w:val="18"/>
                <w:szCs w:val="18"/>
              </w:rPr>
              <w:t>-1.359732 (0.9130)</w:t>
            </w:r>
          </w:p>
        </w:tc>
        <w:tc>
          <w:tcPr>
            <w:tcW w:w="1600" w:type="dxa"/>
            <w:vAlign w:val="center"/>
          </w:tcPr>
          <w:p w:rsidR="004B4BDC" w:rsidRDefault="007F3D57">
            <w:pPr>
              <w:jc w:val="center"/>
            </w:pPr>
            <w:r>
              <w:rPr>
                <w:sz w:val="18"/>
                <w:szCs w:val="18"/>
              </w:rPr>
              <w:t>3.487275 (0.0002)</w:t>
            </w:r>
          </w:p>
        </w:tc>
      </w:tr>
      <w:tr w:rsidR="004B4BDC">
        <w:tblPrEx>
          <w:tblCellMar>
            <w:top w:w="0" w:type="dxa"/>
            <w:bottom w:w="0" w:type="dxa"/>
          </w:tblCellMar>
        </w:tblPrEx>
        <w:tc>
          <w:tcPr>
            <w:tcW w:w="2400" w:type="dxa"/>
            <w:vAlign w:val="center"/>
          </w:tcPr>
          <w:p w:rsidR="004B4BDC" w:rsidRDefault="007F3D57">
            <w:r>
              <w:rPr>
                <w:sz w:val="18"/>
                <w:szCs w:val="18"/>
              </w:rPr>
              <w:t>King-Wu</w:t>
            </w:r>
          </w:p>
        </w:tc>
        <w:tc>
          <w:tcPr>
            <w:tcW w:w="2000" w:type="dxa"/>
            <w:vAlign w:val="center"/>
          </w:tcPr>
          <w:p w:rsidR="004B4BDC" w:rsidRDefault="007F3D57">
            <w:pPr>
              <w:jc w:val="center"/>
            </w:pPr>
            <w:r>
              <w:rPr>
                <w:sz w:val="18"/>
                <w:szCs w:val="18"/>
              </w:rPr>
              <w:t>6.291484 (0.0000)</w:t>
            </w:r>
          </w:p>
        </w:tc>
        <w:tc>
          <w:tcPr>
            <w:tcW w:w="2000" w:type="dxa"/>
            <w:vAlign w:val="center"/>
          </w:tcPr>
          <w:p w:rsidR="004B4BDC" w:rsidRDefault="007F3D57">
            <w:pPr>
              <w:jc w:val="center"/>
            </w:pPr>
            <w:r>
              <w:rPr>
                <w:sz w:val="18"/>
                <w:szCs w:val="18"/>
              </w:rPr>
              <w:t>-1.359732 (0.9130)</w:t>
            </w:r>
          </w:p>
        </w:tc>
        <w:tc>
          <w:tcPr>
            <w:tcW w:w="1600" w:type="dxa"/>
            <w:vAlign w:val="center"/>
          </w:tcPr>
          <w:p w:rsidR="004B4BDC" w:rsidRDefault="007F3D57">
            <w:pPr>
              <w:jc w:val="center"/>
            </w:pPr>
            <w:r>
              <w:rPr>
                <w:sz w:val="18"/>
                <w:szCs w:val="18"/>
              </w:rPr>
              <w:t>1.829767 (0.0336)</w:t>
            </w:r>
          </w:p>
        </w:tc>
      </w:tr>
    </w:tbl>
    <w:p w:rsidR="004B4BDC" w:rsidRDefault="007F3D57">
      <w:pPr>
        <w:spacing w:before="20" w:after="160"/>
        <w:jc w:val="center"/>
      </w:pPr>
      <w:r>
        <w:rPr>
          <w:i/>
          <w:iCs/>
          <w:sz w:val="18"/>
          <w:szCs w:val="18"/>
        </w:rPr>
        <w:t>Sumber: Data diolah dengan Eviews 13 (2026)</w:t>
      </w:r>
    </w:p>
    <w:p w:rsidR="004B4BDC" w:rsidRDefault="007F3D57">
      <w:pPr>
        <w:spacing w:after="120"/>
        <w:ind w:firstLine="425"/>
        <w:jc w:val="both"/>
      </w:pPr>
      <w:r>
        <w:t xml:space="preserve">Berdasarkan ketiga pengujian tersebut, </w:t>
      </w:r>
      <w:r>
        <w:rPr>
          <w:i/>
          <w:iCs/>
        </w:rPr>
        <w:t>Common Effect Model</w:t>
      </w:r>
      <w:r>
        <w:t xml:space="preserve"> (CEM) dipilih sebagai model optimal untuk analisis data panel dalam penelitian ini.</w:t>
      </w:r>
    </w:p>
    <w:p w:rsidR="004B4BDC" w:rsidRDefault="007F3D57">
      <w:pPr>
        <w:spacing w:before="200" w:after="120"/>
      </w:pPr>
      <w:r>
        <w:rPr>
          <w:b/>
          <w:bCs/>
        </w:rPr>
        <w:t>3.4. Hasil Regresi Data Panel dan Uji Hipotesis</w:t>
      </w:r>
    </w:p>
    <w:p w:rsidR="004B4BDC" w:rsidRDefault="007F3D57">
      <w:pPr>
        <w:spacing w:after="120"/>
        <w:ind w:firstLine="425"/>
        <w:jc w:val="both"/>
      </w:pPr>
      <w:r>
        <w:t xml:space="preserve">Hasil estimasi </w:t>
      </w:r>
      <w:r>
        <w:rPr>
          <w:i/>
          <w:iCs/>
        </w:rPr>
        <w:t>Common Effect Model</w:t>
      </w:r>
      <w:r>
        <w:t xml:space="preserve"> menunjukkan persamaan regresi:</w:t>
      </w:r>
    </w:p>
    <w:p w:rsidR="004B4BDC" w:rsidRDefault="007F3D57">
      <w:pPr>
        <w:spacing w:before="100" w:after="100"/>
        <w:jc w:val="center"/>
      </w:pPr>
      <w:r>
        <w:rPr>
          <w:b/>
          <w:bCs/>
        </w:rPr>
        <w:t>ΔLaba = 2,847 + 3,215 CR - 1,524 DER + 0,842 TATO + 8,347 NPM + ε</w:t>
      </w:r>
    </w:p>
    <w:p w:rsidR="004B4BDC" w:rsidRDefault="007F3D57">
      <w:pPr>
        <w:spacing w:after="120"/>
        <w:ind w:firstLine="425"/>
        <w:jc w:val="both"/>
      </w:pPr>
      <w:r>
        <w:t>Koefisien determinasi (R-squared) sebesar 0,387 menyatakan bahwa 38,7% variasi perubahan laba dapat dijelaskan oleh keempat variabel indepe</w:t>
      </w:r>
      <w:r>
        <w:t xml:space="preserve">nden. Pengujian simultan (uji F) menghasilkan F-statistic sebesar 5,823 dengan </w:t>
      </w:r>
      <w:r>
        <w:rPr>
          <w:i/>
          <w:iCs/>
        </w:rPr>
        <w:t>probability</w:t>
      </w:r>
      <w:r>
        <w:t xml:space="preserve"> 0,002 (&lt; 0,05), yang menyatakan bahwa secara simultan CR, DER, TATO, dan NPM berpengaruh signifikan terhadap perubahan laba.</w:t>
      </w:r>
    </w:p>
    <w:p w:rsidR="004B4BDC" w:rsidRDefault="007F3D57">
      <w:pPr>
        <w:spacing w:before="80" w:after="100"/>
        <w:jc w:val="center"/>
      </w:pPr>
      <w:r>
        <w:rPr>
          <w:b/>
          <w:bCs/>
        </w:rPr>
        <w:t>Table 7. Hasil Uji Parsial (Uji t)</w:t>
      </w:r>
    </w:p>
    <w:tbl>
      <w:tblPr>
        <w:tblW w:w="880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1600"/>
        <w:gridCol w:w="1600"/>
        <w:gridCol w:w="2400"/>
      </w:tblGrid>
      <w:tr w:rsidR="004B4BDC">
        <w:tblPrEx>
          <w:tblCellMar>
            <w:top w:w="0" w:type="dxa"/>
            <w:bottom w:w="0" w:type="dxa"/>
          </w:tblCellMar>
        </w:tblPrEx>
        <w:trPr>
          <w:tblHeader/>
        </w:trPr>
        <w:tc>
          <w:tcPr>
            <w:tcW w:w="3200" w:type="dxa"/>
            <w:shd w:val="clear" w:color="auto" w:fill="D9D9D9"/>
            <w:vAlign w:val="center"/>
          </w:tcPr>
          <w:p w:rsidR="004B4BDC" w:rsidRDefault="007F3D57">
            <w:pPr>
              <w:jc w:val="center"/>
            </w:pPr>
            <w:r>
              <w:rPr>
                <w:b/>
                <w:bCs/>
                <w:sz w:val="18"/>
                <w:szCs w:val="18"/>
              </w:rPr>
              <w:t>Varia</w:t>
            </w:r>
            <w:r>
              <w:rPr>
                <w:b/>
                <w:bCs/>
                <w:sz w:val="18"/>
                <w:szCs w:val="18"/>
              </w:rPr>
              <w:t>bel</w:t>
            </w:r>
          </w:p>
        </w:tc>
        <w:tc>
          <w:tcPr>
            <w:tcW w:w="1600" w:type="dxa"/>
            <w:shd w:val="clear" w:color="auto" w:fill="D9D9D9"/>
            <w:vAlign w:val="center"/>
          </w:tcPr>
          <w:p w:rsidR="004B4BDC" w:rsidRDefault="007F3D57">
            <w:pPr>
              <w:jc w:val="center"/>
            </w:pPr>
            <w:r>
              <w:rPr>
                <w:b/>
                <w:bCs/>
                <w:sz w:val="18"/>
                <w:szCs w:val="18"/>
              </w:rPr>
              <w:t>t-Statistic</w:t>
            </w:r>
          </w:p>
        </w:tc>
        <w:tc>
          <w:tcPr>
            <w:tcW w:w="1600" w:type="dxa"/>
            <w:shd w:val="clear" w:color="auto" w:fill="D9D9D9"/>
            <w:vAlign w:val="center"/>
          </w:tcPr>
          <w:p w:rsidR="004B4BDC" w:rsidRDefault="007F3D57">
            <w:pPr>
              <w:jc w:val="center"/>
            </w:pPr>
            <w:r>
              <w:rPr>
                <w:b/>
                <w:bCs/>
                <w:sz w:val="18"/>
                <w:szCs w:val="18"/>
              </w:rPr>
              <w:t>Prob.</w:t>
            </w:r>
          </w:p>
        </w:tc>
        <w:tc>
          <w:tcPr>
            <w:tcW w:w="2400" w:type="dxa"/>
            <w:shd w:val="clear" w:color="auto" w:fill="D9D9D9"/>
            <w:vAlign w:val="center"/>
          </w:tcPr>
          <w:p w:rsidR="004B4BDC" w:rsidRDefault="007F3D57">
            <w:pPr>
              <w:jc w:val="center"/>
            </w:pPr>
            <w:r>
              <w:rPr>
                <w:b/>
                <w:bCs/>
                <w:sz w:val="18"/>
                <w:szCs w:val="18"/>
              </w:rPr>
              <w:t>Keterangan</w:t>
            </w:r>
          </w:p>
        </w:tc>
      </w:tr>
      <w:tr w:rsidR="004B4BDC">
        <w:tblPrEx>
          <w:tblCellMar>
            <w:top w:w="0" w:type="dxa"/>
            <w:bottom w:w="0" w:type="dxa"/>
          </w:tblCellMar>
        </w:tblPrEx>
        <w:tc>
          <w:tcPr>
            <w:tcW w:w="3200" w:type="dxa"/>
            <w:vAlign w:val="center"/>
          </w:tcPr>
          <w:p w:rsidR="004B4BDC" w:rsidRDefault="007F3D57">
            <w:r>
              <w:rPr>
                <w:sz w:val="18"/>
                <w:szCs w:val="18"/>
              </w:rPr>
              <w:t>Net Profit Margin (NPM)</w:t>
            </w:r>
          </w:p>
        </w:tc>
        <w:tc>
          <w:tcPr>
            <w:tcW w:w="1600" w:type="dxa"/>
            <w:vAlign w:val="center"/>
          </w:tcPr>
          <w:p w:rsidR="004B4BDC" w:rsidRDefault="007F3D57">
            <w:pPr>
              <w:jc w:val="center"/>
            </w:pPr>
            <w:r>
              <w:rPr>
                <w:sz w:val="18"/>
                <w:szCs w:val="18"/>
              </w:rPr>
              <w:t>2.847</w:t>
            </w:r>
          </w:p>
        </w:tc>
        <w:tc>
          <w:tcPr>
            <w:tcW w:w="1600" w:type="dxa"/>
            <w:vAlign w:val="center"/>
          </w:tcPr>
          <w:p w:rsidR="004B4BDC" w:rsidRDefault="007F3D57">
            <w:pPr>
              <w:jc w:val="center"/>
            </w:pPr>
            <w:r>
              <w:rPr>
                <w:sz w:val="18"/>
                <w:szCs w:val="18"/>
              </w:rPr>
              <w:t>0.003</w:t>
            </w:r>
          </w:p>
        </w:tc>
        <w:tc>
          <w:tcPr>
            <w:tcW w:w="2400" w:type="dxa"/>
            <w:vAlign w:val="center"/>
          </w:tcPr>
          <w:p w:rsidR="004B4BDC" w:rsidRDefault="007F3D57">
            <w:pPr>
              <w:jc w:val="center"/>
            </w:pPr>
            <w:r>
              <w:rPr>
                <w:sz w:val="18"/>
                <w:szCs w:val="18"/>
              </w:rPr>
              <w:t>Positif dan signifikan</w:t>
            </w:r>
          </w:p>
        </w:tc>
      </w:tr>
      <w:tr w:rsidR="004B4BDC">
        <w:tblPrEx>
          <w:tblCellMar>
            <w:top w:w="0" w:type="dxa"/>
            <w:bottom w:w="0" w:type="dxa"/>
          </w:tblCellMar>
        </w:tblPrEx>
        <w:tc>
          <w:tcPr>
            <w:tcW w:w="3200" w:type="dxa"/>
            <w:vAlign w:val="center"/>
          </w:tcPr>
          <w:p w:rsidR="004B4BDC" w:rsidRDefault="007F3D57">
            <w:r>
              <w:rPr>
                <w:sz w:val="18"/>
                <w:szCs w:val="18"/>
              </w:rPr>
              <w:t>Total Asset Turnover (TATO)</w:t>
            </w:r>
          </w:p>
        </w:tc>
        <w:tc>
          <w:tcPr>
            <w:tcW w:w="1600" w:type="dxa"/>
            <w:vAlign w:val="center"/>
          </w:tcPr>
          <w:p w:rsidR="004B4BDC" w:rsidRDefault="007F3D57">
            <w:pPr>
              <w:jc w:val="center"/>
            </w:pPr>
            <w:r>
              <w:rPr>
                <w:sz w:val="18"/>
                <w:szCs w:val="18"/>
              </w:rPr>
              <w:t>1.523</w:t>
            </w:r>
          </w:p>
        </w:tc>
        <w:tc>
          <w:tcPr>
            <w:tcW w:w="1600" w:type="dxa"/>
            <w:vAlign w:val="center"/>
          </w:tcPr>
          <w:p w:rsidR="004B4BDC" w:rsidRDefault="007F3D57">
            <w:pPr>
              <w:jc w:val="center"/>
            </w:pPr>
            <w:r>
              <w:rPr>
                <w:sz w:val="18"/>
                <w:szCs w:val="18"/>
              </w:rPr>
              <w:t>0.087</w:t>
            </w:r>
          </w:p>
        </w:tc>
        <w:tc>
          <w:tcPr>
            <w:tcW w:w="2400" w:type="dxa"/>
            <w:vAlign w:val="center"/>
          </w:tcPr>
          <w:p w:rsidR="004B4BDC" w:rsidRDefault="007F3D57">
            <w:pPr>
              <w:jc w:val="center"/>
            </w:pPr>
            <w:r>
              <w:rPr>
                <w:sz w:val="18"/>
                <w:szCs w:val="18"/>
              </w:rPr>
              <w:t>Positif, tidak signifikan</w:t>
            </w:r>
          </w:p>
        </w:tc>
      </w:tr>
      <w:tr w:rsidR="004B4BDC">
        <w:tblPrEx>
          <w:tblCellMar>
            <w:top w:w="0" w:type="dxa"/>
            <w:bottom w:w="0" w:type="dxa"/>
          </w:tblCellMar>
        </w:tblPrEx>
        <w:tc>
          <w:tcPr>
            <w:tcW w:w="3200" w:type="dxa"/>
            <w:vAlign w:val="center"/>
          </w:tcPr>
          <w:p w:rsidR="004B4BDC" w:rsidRDefault="007F3D57">
            <w:r>
              <w:rPr>
                <w:sz w:val="18"/>
                <w:szCs w:val="18"/>
              </w:rPr>
              <w:t>Current Ratio (CR)</w:t>
            </w:r>
          </w:p>
        </w:tc>
        <w:tc>
          <w:tcPr>
            <w:tcW w:w="1600" w:type="dxa"/>
            <w:vAlign w:val="center"/>
          </w:tcPr>
          <w:p w:rsidR="004B4BDC" w:rsidRDefault="007F3D57">
            <w:pPr>
              <w:jc w:val="center"/>
            </w:pPr>
            <w:r>
              <w:rPr>
                <w:sz w:val="18"/>
                <w:szCs w:val="18"/>
              </w:rPr>
              <w:t>1.285</w:t>
            </w:r>
          </w:p>
        </w:tc>
        <w:tc>
          <w:tcPr>
            <w:tcW w:w="1600" w:type="dxa"/>
            <w:vAlign w:val="center"/>
          </w:tcPr>
          <w:p w:rsidR="004B4BDC" w:rsidRDefault="007F3D57">
            <w:pPr>
              <w:jc w:val="center"/>
            </w:pPr>
            <w:r>
              <w:rPr>
                <w:sz w:val="18"/>
                <w:szCs w:val="18"/>
              </w:rPr>
              <w:t>0.124</w:t>
            </w:r>
          </w:p>
        </w:tc>
        <w:tc>
          <w:tcPr>
            <w:tcW w:w="2400" w:type="dxa"/>
            <w:vAlign w:val="center"/>
          </w:tcPr>
          <w:p w:rsidR="004B4BDC" w:rsidRDefault="007F3D57">
            <w:pPr>
              <w:jc w:val="center"/>
            </w:pPr>
            <w:r>
              <w:rPr>
                <w:sz w:val="18"/>
                <w:szCs w:val="18"/>
              </w:rPr>
              <w:t>Positif, tidak signifikan</w:t>
            </w:r>
          </w:p>
        </w:tc>
      </w:tr>
      <w:tr w:rsidR="004B4BDC">
        <w:tblPrEx>
          <w:tblCellMar>
            <w:top w:w="0" w:type="dxa"/>
            <w:bottom w:w="0" w:type="dxa"/>
          </w:tblCellMar>
        </w:tblPrEx>
        <w:tc>
          <w:tcPr>
            <w:tcW w:w="3200" w:type="dxa"/>
            <w:vAlign w:val="center"/>
          </w:tcPr>
          <w:p w:rsidR="004B4BDC" w:rsidRDefault="007F3D57">
            <w:r>
              <w:rPr>
                <w:sz w:val="18"/>
                <w:szCs w:val="18"/>
              </w:rPr>
              <w:t>Debt to Equity Ratio (DER)</w:t>
            </w:r>
          </w:p>
        </w:tc>
        <w:tc>
          <w:tcPr>
            <w:tcW w:w="1600" w:type="dxa"/>
            <w:vAlign w:val="center"/>
          </w:tcPr>
          <w:p w:rsidR="004B4BDC" w:rsidRDefault="007F3D57">
            <w:pPr>
              <w:jc w:val="center"/>
            </w:pPr>
            <w:r>
              <w:rPr>
                <w:sz w:val="18"/>
                <w:szCs w:val="18"/>
              </w:rPr>
              <w:t>-0.954</w:t>
            </w:r>
          </w:p>
        </w:tc>
        <w:tc>
          <w:tcPr>
            <w:tcW w:w="1600" w:type="dxa"/>
            <w:vAlign w:val="center"/>
          </w:tcPr>
          <w:p w:rsidR="004B4BDC" w:rsidRDefault="007F3D57">
            <w:pPr>
              <w:jc w:val="center"/>
            </w:pPr>
            <w:r>
              <w:rPr>
                <w:sz w:val="18"/>
                <w:szCs w:val="18"/>
              </w:rPr>
              <w:t>0.213</w:t>
            </w:r>
          </w:p>
        </w:tc>
        <w:tc>
          <w:tcPr>
            <w:tcW w:w="2400" w:type="dxa"/>
            <w:vAlign w:val="center"/>
          </w:tcPr>
          <w:p w:rsidR="004B4BDC" w:rsidRDefault="007F3D57">
            <w:pPr>
              <w:jc w:val="center"/>
            </w:pPr>
            <w:r>
              <w:rPr>
                <w:sz w:val="18"/>
                <w:szCs w:val="18"/>
              </w:rPr>
              <w:t>Negatif, tidak signifikan</w:t>
            </w:r>
          </w:p>
        </w:tc>
      </w:tr>
    </w:tbl>
    <w:p w:rsidR="004B4BDC" w:rsidRDefault="007F3D57">
      <w:pPr>
        <w:spacing w:before="20" w:after="160"/>
        <w:jc w:val="center"/>
      </w:pPr>
      <w:r>
        <w:rPr>
          <w:i/>
          <w:iCs/>
          <w:sz w:val="18"/>
          <w:szCs w:val="18"/>
        </w:rPr>
        <w:t>Sumber: Data diolah dengan Eviews 13 (2026)</w:t>
      </w:r>
    </w:p>
    <w:p w:rsidR="004B4BDC" w:rsidRDefault="007F3D57">
      <w:pPr>
        <w:spacing w:after="120"/>
        <w:ind w:firstLine="425"/>
        <w:jc w:val="both"/>
      </w:pPr>
      <w:r>
        <w:t xml:space="preserve">Hipotesis H1 terbukti, yaitu </w:t>
      </w:r>
      <w:r>
        <w:rPr>
          <w:i/>
          <w:iCs/>
        </w:rPr>
        <w:t>Net Profit Margin</w:t>
      </w:r>
      <w:r>
        <w:t xml:space="preserve"> berpengaruh signifikan terhadap perubahan laba, sementara hipotesis H2, H3, dan H4 tidak terbukti.</w:t>
      </w:r>
    </w:p>
    <w:p w:rsidR="004B4BDC" w:rsidRDefault="007F3D57">
      <w:pPr>
        <w:spacing w:before="200" w:after="120"/>
      </w:pPr>
      <w:r>
        <w:rPr>
          <w:b/>
          <w:bCs/>
        </w:rPr>
        <w:t>3.5. Pembahasan</w:t>
      </w:r>
    </w:p>
    <w:p w:rsidR="004B4BDC" w:rsidRDefault="007F3D57">
      <w:pPr>
        <w:spacing w:before="160" w:after="100"/>
      </w:pPr>
      <w:r>
        <w:rPr>
          <w:b/>
          <w:bCs/>
          <w:i/>
          <w:iCs/>
        </w:rPr>
        <w:t>3.5.1. Pengaruh C</w:t>
      </w:r>
      <w:r>
        <w:rPr>
          <w:b/>
          <w:bCs/>
          <w:i/>
          <w:iCs/>
        </w:rPr>
        <w:t>urrent Ratio (CR) terhadap Perubahan Laba</w:t>
      </w:r>
    </w:p>
    <w:p w:rsidR="004B4BDC" w:rsidRDefault="007F3D57">
      <w:pPr>
        <w:spacing w:after="120"/>
        <w:ind w:firstLine="425"/>
        <w:jc w:val="both"/>
      </w:pPr>
      <w:r>
        <w:t xml:space="preserve">Hasil penelitian ini menunjukkan bahwa variabel </w:t>
      </w:r>
      <w:r>
        <w:rPr>
          <w:i/>
          <w:iCs/>
        </w:rPr>
        <w:t>Current Ratio</w:t>
      </w:r>
      <w:r>
        <w:t xml:space="preserve"> (CR) tidak berpengaruh signifikan terhadap Perubahan Laba. Hal ini dapat dilihat dari nilai probabilitas variabel </w:t>
      </w:r>
      <w:r>
        <w:rPr>
          <w:i/>
          <w:iCs/>
        </w:rPr>
        <w:t>Current Ratio</w:t>
      </w:r>
      <w:r>
        <w:t xml:space="preserve"> (CR) sebesar 0,6579 &gt;</w:t>
      </w:r>
      <w:r>
        <w:t xml:space="preserve"> 0,05, serta nilai t-hitung sebesar -0,446243 yang lebih kecil daripada t-tabel sebesar 2,02108. Dengan demikian, dapat disimpulkan bahwa H0 diterima dan H1 ditolak, yang artinya secara parsial variabel </w:t>
      </w:r>
      <w:r>
        <w:rPr>
          <w:i/>
          <w:iCs/>
        </w:rPr>
        <w:t>Current Ratio</w:t>
      </w:r>
      <w:r>
        <w:t xml:space="preserve"> (CR) tidak berpengaruh signifikan terha</w:t>
      </w:r>
      <w:r>
        <w:t>dap perubahan laba.</w:t>
      </w:r>
    </w:p>
    <w:p w:rsidR="004B4BDC" w:rsidRDefault="007F3D57">
      <w:pPr>
        <w:spacing w:after="120"/>
        <w:ind w:firstLine="425"/>
        <w:jc w:val="both"/>
      </w:pPr>
      <w:r>
        <w:t xml:space="preserve">Temuan ini didukung oleh hasil penelitian Rika Wani Juwita Hutagalung dan Yois Nelsari Malau yang menyatakan bahwa </w:t>
      </w:r>
      <w:r>
        <w:rPr>
          <w:i/>
          <w:iCs/>
        </w:rPr>
        <w:t>Current Ratio</w:t>
      </w:r>
      <w:r>
        <w:t xml:space="preserve"> tidak berpengaruh positif dan tidak signifikan terhadap laba. Hal ini disebabkan karena tinggi atau rendahn</w:t>
      </w:r>
      <w:r>
        <w:t xml:space="preserve">ya nilai </w:t>
      </w:r>
      <w:r>
        <w:rPr>
          <w:i/>
          <w:iCs/>
        </w:rPr>
        <w:t>current ratio</w:t>
      </w:r>
      <w:r>
        <w:t xml:space="preserve"> tidak memengaruhi variasi nilai perubahan laba [13]. Sementara itu, </w:t>
      </w:r>
      <w:r>
        <w:lastRenderedPageBreak/>
        <w:t xml:space="preserve">penelitian ini bertentangan dengan penelitian Alwi Mukti, Suji Abdullah Saleh, Yeti Apriliawati, dan Sulistia Suwondo yang menyatakan bahwa </w:t>
      </w:r>
      <w:r>
        <w:rPr>
          <w:i/>
          <w:iCs/>
        </w:rPr>
        <w:t>Current Ratio</w:t>
      </w:r>
      <w:r>
        <w:t xml:space="preserve"> (CR) berpen</w:t>
      </w:r>
      <w:r>
        <w:t>garuh terhadap perubahan laba [14].</w:t>
      </w:r>
    </w:p>
    <w:p w:rsidR="004B4BDC" w:rsidRDefault="007F3D57">
      <w:pPr>
        <w:spacing w:before="160" w:after="100"/>
      </w:pPr>
      <w:r>
        <w:rPr>
          <w:b/>
          <w:bCs/>
          <w:i/>
          <w:iCs/>
        </w:rPr>
        <w:t>3.5.2. Pengaruh Debt to Equity Ratio (DER) terhadap Perubahan Laba</w:t>
      </w:r>
    </w:p>
    <w:p w:rsidR="004B4BDC" w:rsidRDefault="007F3D57">
      <w:pPr>
        <w:spacing w:after="120"/>
        <w:ind w:firstLine="425"/>
        <w:jc w:val="both"/>
      </w:pPr>
      <w:r>
        <w:t xml:space="preserve">Hasil penelitian ini menunjukkan bahwa variabel </w:t>
      </w:r>
      <w:r>
        <w:rPr>
          <w:i/>
          <w:iCs/>
        </w:rPr>
        <w:t>Debt to Equity Ratio</w:t>
      </w:r>
      <w:r>
        <w:t xml:space="preserve"> (DER) tidak berpengaruh signifikan terhadap Perubahan Laba. Hal ini dapat dilihat da</w:t>
      </w:r>
      <w:r>
        <w:t xml:space="preserve">ri nilai probabilitas variabel </w:t>
      </w:r>
      <w:r>
        <w:rPr>
          <w:i/>
          <w:iCs/>
        </w:rPr>
        <w:t>Debt to Equity Ratio</w:t>
      </w:r>
      <w:r>
        <w:t xml:space="preserve"> (DER) sebesar 0,8900 &gt; 0,05, serta nilai t-hitung sebesar -0,139212 yang lebih kecil daripada t-tabel sebesar 2,02108. Dengan demikian, dapat disimpulkan bahwa H0 diterima dan H1 ditolak, yang artinya sec</w:t>
      </w:r>
      <w:r>
        <w:t xml:space="preserve">ara parsial variabel </w:t>
      </w:r>
      <w:r>
        <w:rPr>
          <w:i/>
          <w:iCs/>
        </w:rPr>
        <w:t>Debt to Equity Ratio</w:t>
      </w:r>
      <w:r>
        <w:t xml:space="preserve"> (DER) tidak berpengaruh terhadap perubahan laba.</w:t>
      </w:r>
    </w:p>
    <w:p w:rsidR="004B4BDC" w:rsidRDefault="007F3D57">
      <w:pPr>
        <w:spacing w:after="120"/>
        <w:ind w:firstLine="425"/>
        <w:jc w:val="both"/>
      </w:pPr>
      <w:r>
        <w:t xml:space="preserve">Temuan ini didukung oleh hasil penelitian Rodhiyah, Roidatul Ellsah, dan Yuli Ermawati yang menyatakan bahwa </w:t>
      </w:r>
      <w:r>
        <w:rPr>
          <w:i/>
          <w:iCs/>
        </w:rPr>
        <w:t>Debt to Equity Ratio</w:t>
      </w:r>
      <w:r>
        <w:t xml:space="preserve"> (DER) tidak berpengaruh positif dan</w:t>
      </w:r>
      <w:r>
        <w:t xml:space="preserve"> tidak signifikan terhadap perubahan laba. Hal ini disebabkan karena tinggi atau rendahnya nilai </w:t>
      </w:r>
      <w:r>
        <w:rPr>
          <w:i/>
          <w:iCs/>
        </w:rPr>
        <w:t>Debt to Equity Ratio</w:t>
      </w:r>
      <w:r>
        <w:t xml:space="preserve"> (DER) tidak memengaruhi variasi nilai perubahan laba [15]. Sementara itu, penelitian ini bertentangan dengan penelitian Yudi Priyono, Hadi</w:t>
      </w:r>
      <w:r>
        <w:t xml:space="preserve"> Samanto, dan Sumadi yang menyatakan bahwa </w:t>
      </w:r>
      <w:r>
        <w:rPr>
          <w:i/>
          <w:iCs/>
        </w:rPr>
        <w:t>Debt to Equity Ratio</w:t>
      </w:r>
      <w:r>
        <w:t xml:space="preserve"> (DER) berpengaruh terhadap perubahan laba [16].</w:t>
      </w:r>
    </w:p>
    <w:p w:rsidR="004B4BDC" w:rsidRDefault="007F3D57">
      <w:pPr>
        <w:spacing w:before="160" w:after="100"/>
      </w:pPr>
      <w:r>
        <w:rPr>
          <w:b/>
          <w:bCs/>
          <w:i/>
          <w:iCs/>
        </w:rPr>
        <w:t>3.5.3. Pengaruh Total Asset Turnover (TATO) terhadap Perubahan Laba</w:t>
      </w:r>
    </w:p>
    <w:p w:rsidR="004B4BDC" w:rsidRDefault="007F3D57">
      <w:pPr>
        <w:spacing w:after="120"/>
        <w:ind w:firstLine="425"/>
        <w:jc w:val="both"/>
      </w:pPr>
      <w:r>
        <w:t xml:space="preserve">Hasil penelitian ini menunjukkan bahwa variabel </w:t>
      </w:r>
      <w:r>
        <w:rPr>
          <w:i/>
          <w:iCs/>
        </w:rPr>
        <w:t>Total Asset Turnover</w:t>
      </w:r>
      <w:r>
        <w:t xml:space="preserve"> (TATO) tidak berpengaruh signifikan terhadap Perubahan Laba. Hal ini dapat dilihat dari nilai probabilitas variabel </w:t>
      </w:r>
      <w:r>
        <w:rPr>
          <w:i/>
          <w:iCs/>
        </w:rPr>
        <w:t>Total Asset Turnover</w:t>
      </w:r>
      <w:r>
        <w:t xml:space="preserve"> (TATO) sebesar 0,5072 &gt; 0,05, serta nilai t-hitung sebesar 0,669338 yang lebih kecil daripada t-tabel sebesar 2,02108.</w:t>
      </w:r>
      <w:r>
        <w:t xml:space="preserve"> Dengan demikian, dapat disimpulkan bahwa H0 diterima dan H1 ditolak, yang artinya secara parsial variabel </w:t>
      </w:r>
      <w:r>
        <w:rPr>
          <w:i/>
          <w:iCs/>
        </w:rPr>
        <w:t>Total Asset Turnover</w:t>
      </w:r>
      <w:r>
        <w:t xml:space="preserve"> (TATO) tidak berpengaruh terhadap perubahan laba.</w:t>
      </w:r>
    </w:p>
    <w:p w:rsidR="004B4BDC" w:rsidRDefault="007F3D57">
      <w:pPr>
        <w:spacing w:after="120"/>
        <w:ind w:firstLine="425"/>
        <w:jc w:val="both"/>
      </w:pPr>
      <w:r>
        <w:t>Temuan ini didukung oleh hasil penelitian Rizky Dwi Ramadhan dan Sri Wahyuni J</w:t>
      </w:r>
      <w:r>
        <w:t xml:space="preserve">amal yang menyatakan bahwa </w:t>
      </w:r>
      <w:r>
        <w:rPr>
          <w:i/>
          <w:iCs/>
        </w:rPr>
        <w:t>Total Asset Turnover</w:t>
      </w:r>
      <w:r>
        <w:t xml:space="preserve"> (TATO) tidak berpengaruh positif dan tidak signifikan terhadap perubahan laba. Hal ini disebabkan karena tinggi atau rendahnya nilai </w:t>
      </w:r>
      <w:r>
        <w:rPr>
          <w:i/>
          <w:iCs/>
        </w:rPr>
        <w:t>Total Asset Turnover</w:t>
      </w:r>
      <w:r>
        <w:t xml:space="preserve"> (TATO) tidak memengaruhi variasi nilai perubahan laba </w:t>
      </w:r>
      <w:r>
        <w:t xml:space="preserve">[17]. Sementara itu, penelitian ini bertentangan dengan penelitian Mia Christy Patricia dan Chairul Anwar yang menyatakan bahwa </w:t>
      </w:r>
      <w:r>
        <w:rPr>
          <w:i/>
          <w:iCs/>
        </w:rPr>
        <w:t>Total Asset Turnover</w:t>
      </w:r>
      <w:r>
        <w:t xml:space="preserve"> (TATO) berpengaruh terhadap perubahan laba [18].</w:t>
      </w:r>
    </w:p>
    <w:p w:rsidR="004B4BDC" w:rsidRDefault="007F3D57">
      <w:pPr>
        <w:spacing w:before="160" w:after="100"/>
      </w:pPr>
      <w:r>
        <w:rPr>
          <w:b/>
          <w:bCs/>
          <w:i/>
          <w:iCs/>
        </w:rPr>
        <w:t>3.5.4. Pengaruh Net Profit Margin (NPM) terhadap Perubahan</w:t>
      </w:r>
      <w:r>
        <w:rPr>
          <w:b/>
          <w:bCs/>
          <w:i/>
          <w:iCs/>
        </w:rPr>
        <w:t xml:space="preserve"> Laba</w:t>
      </w:r>
    </w:p>
    <w:p w:rsidR="004B4BDC" w:rsidRDefault="007F3D57">
      <w:pPr>
        <w:spacing w:after="120"/>
        <w:ind w:firstLine="425"/>
        <w:jc w:val="both"/>
      </w:pPr>
      <w:r>
        <w:t xml:space="preserve">Hasil penelitian ini menunjukkan bahwa variabel </w:t>
      </w:r>
      <w:r>
        <w:rPr>
          <w:i/>
          <w:iCs/>
        </w:rPr>
        <w:t>Net Profit Margin</w:t>
      </w:r>
      <w:r>
        <w:t xml:space="preserve"> (NPM) berpengaruh positif dan signifikan terhadap Perubahan Laba. Hal ini dapat dilihat dari nilai probabilitas variabel </w:t>
      </w:r>
      <w:r>
        <w:rPr>
          <w:i/>
          <w:iCs/>
        </w:rPr>
        <w:t>Net Profit Margin</w:t>
      </w:r>
      <w:r>
        <w:t xml:space="preserve"> (NPM) sebesar 0,0000 &lt; 0,05, serta nilai t-hi</w:t>
      </w:r>
      <w:r>
        <w:t xml:space="preserve">tung sebesar 10,46681 yang lebih besar daripada t-tabel sebesar 2,02108. Dengan demikian, dapat disimpulkan bahwa H0 ditolak dan H1 diterima, yang artinya secara parsial variabel </w:t>
      </w:r>
      <w:r>
        <w:rPr>
          <w:i/>
          <w:iCs/>
        </w:rPr>
        <w:t>Net Profit Margin</w:t>
      </w:r>
      <w:r>
        <w:t xml:space="preserve"> (NPM) berpengaruh terhadap perubahan laba.</w:t>
      </w:r>
    </w:p>
    <w:p w:rsidR="004B4BDC" w:rsidRDefault="007F3D57">
      <w:pPr>
        <w:spacing w:after="120"/>
        <w:ind w:firstLine="425"/>
        <w:jc w:val="both"/>
      </w:pPr>
      <w:r>
        <w:t>Temuan ini diduk</w:t>
      </w:r>
      <w:r>
        <w:t xml:space="preserve">ung oleh hasil penelitian Khansa Tsabita Wijaya dan Titiek Rachmawati yang menyatakan bahwa </w:t>
      </w:r>
      <w:r>
        <w:rPr>
          <w:i/>
          <w:iCs/>
        </w:rPr>
        <w:t>Net Profit Margin</w:t>
      </w:r>
      <w:r>
        <w:t xml:space="preserve"> (NPM) berpengaruh positif dan signifikan terhadap perubahan laba. Hal ini disebabkan karena tinggi atau rendahnya nilai </w:t>
      </w:r>
      <w:r>
        <w:rPr>
          <w:i/>
          <w:iCs/>
        </w:rPr>
        <w:t>Net Profit Margin</w:t>
      </w:r>
      <w:r>
        <w:t xml:space="preserve"> (NPM) me</w:t>
      </w:r>
      <w:r>
        <w:t xml:space="preserve">mengaruhi variasi nilai perubahan laba. Sementara itu, penelitian ini bertentangan dengan penelitian Viola Syukrina E. Janrosl yang menyatakan bahwa </w:t>
      </w:r>
      <w:r>
        <w:rPr>
          <w:i/>
          <w:iCs/>
        </w:rPr>
        <w:t>Net Profit Margin</w:t>
      </w:r>
      <w:r>
        <w:t xml:space="preserve"> (NPM) tidak berpengaruh positif dan tidak signifikan terhadap perubahan laba. Hal ini dis</w:t>
      </w:r>
      <w:r>
        <w:t xml:space="preserve">ebabkan karena tinggi atau rendahnya nilai </w:t>
      </w:r>
      <w:r>
        <w:rPr>
          <w:i/>
          <w:iCs/>
        </w:rPr>
        <w:t>Net Profit Margin</w:t>
      </w:r>
      <w:r>
        <w:t xml:space="preserve"> (NPM) tidak memengaruhi variasi nilai perubahan laba [19].</w:t>
      </w:r>
    </w:p>
    <w:p w:rsidR="004B4BDC" w:rsidRDefault="007F3D57">
      <w:pPr>
        <w:spacing w:before="160" w:after="100"/>
      </w:pPr>
      <w:r>
        <w:rPr>
          <w:b/>
          <w:bCs/>
          <w:i/>
          <w:iCs/>
        </w:rPr>
        <w:t>3.5.5. Rasio Keuangan Ditinjau dari Perspektif Syariah</w:t>
      </w:r>
    </w:p>
    <w:p w:rsidR="004B4BDC" w:rsidRDefault="007F3D57">
      <w:pPr>
        <w:spacing w:after="120"/>
        <w:ind w:firstLine="425"/>
        <w:jc w:val="both"/>
      </w:pPr>
      <w:r>
        <w:t>Rasio keuangan merupakan alat analisis untuk menilai kondisi dan kinerja perusaha</w:t>
      </w:r>
      <w:r>
        <w:t>an. Dalam perspektif syariah, interpretasi rasio keuangan tidak hanya berfungsi sebagai indikator efisiensi ekonomi, tetapi juga mencerminkan nilai tanggung jawab dan etika bisnis Islam [20].</w:t>
      </w:r>
    </w:p>
    <w:p w:rsidR="004B4BDC" w:rsidRDefault="007F3D57">
      <w:pPr>
        <w:spacing w:after="120"/>
        <w:ind w:firstLine="425"/>
        <w:jc w:val="both"/>
      </w:pPr>
      <w:r>
        <w:t>Rasio likuiditas mencerminkan kemampuan perusahaan memenuhi kewa</w:t>
      </w:r>
      <w:r>
        <w:t xml:space="preserve">jiban jangka pendek yang sejalan dengan prinsip amanah dalam Islam. Rasio </w:t>
      </w:r>
      <w:r>
        <w:rPr>
          <w:i/>
          <w:iCs/>
        </w:rPr>
        <w:t>leverage</w:t>
      </w:r>
      <w:r>
        <w:t xml:space="preserve"> berkaitan dengan pengelolaan utang secara proporsional agar tidak menimbulkan ketidakadilan dan risiko finansial yang berlebihan. Sementara itu, rasio profitabilitas menunju</w:t>
      </w:r>
      <w:r>
        <w:t>kkan kemampuan perusahaan menghasilkan laba yang, dalam perspektif syariah, harus diperoleh melalui aktivitas usaha yang halal dan memberikan manfaat bagi masyarakat [21].</w:t>
      </w:r>
    </w:p>
    <w:p w:rsidR="004B4BDC" w:rsidRDefault="007F3D57">
      <w:pPr>
        <w:spacing w:after="120"/>
        <w:ind w:firstLine="425"/>
        <w:jc w:val="both"/>
      </w:pPr>
      <w:r>
        <w:t>Dengan demikian, analisis rasio keuangan dalam penelitian ini tidak hanya dilihat dari aspek finansial, tetapi juga ditinjau berdasarkan nilai-nilai ekonomi Islam sebagai pendekatan konseptual.</w:t>
      </w:r>
    </w:p>
    <w:p w:rsidR="004B4BDC" w:rsidRDefault="007F3D57">
      <w:pPr>
        <w:spacing w:before="160" w:after="100"/>
      </w:pPr>
      <w:r>
        <w:rPr>
          <w:b/>
          <w:bCs/>
          <w:i/>
          <w:iCs/>
        </w:rPr>
        <w:t>3.5.6. Perubahan Laba Ditinjau dari Perspektif Syariah</w:t>
      </w:r>
    </w:p>
    <w:p w:rsidR="004B4BDC" w:rsidRDefault="007F3D57">
      <w:pPr>
        <w:spacing w:after="120"/>
        <w:ind w:firstLine="425"/>
        <w:jc w:val="both"/>
      </w:pPr>
      <w:r>
        <w:t>Perubah</w:t>
      </w:r>
      <w:r>
        <w:t>an laba merupakan indikator yang menunjukkan peningkatan atau penurunan kinerja keuangan perusahaan dalam suatu periode tertentu. Dalam pendekatan akuntansi konvensional, perubahan laba umumnya digunakan untuk menilai keberhasilan perusahaan dalam menghasi</w:t>
      </w:r>
      <w:r>
        <w:t>lkan keuntungan. Namun, dalam perspektif syariah, laba tidak hanya dipandang sebagai hasil finansial semata, melainkan juga sebagai cerminan tanggung jawab moral dan etika dalam aktivitas bisnis [22].</w:t>
      </w:r>
    </w:p>
    <w:p w:rsidR="004B4BDC" w:rsidRDefault="007F3D57">
      <w:pPr>
        <w:spacing w:after="120"/>
        <w:ind w:firstLine="425"/>
        <w:jc w:val="both"/>
      </w:pPr>
      <w:r>
        <w:lastRenderedPageBreak/>
        <w:t>Ekonomi Islam menekankan bahwa laba yang diperoleh peru</w:t>
      </w:r>
      <w:r>
        <w:t>sahaan harus berasal dari aktivitas usaha yang halal, bebas dari unsur riba, gharar, dan praktik yang merugikan pihak lain. Oleh karena itu, perubahan laba dalam perspektif syariah tidak hanya diukur dari peningkatan nilai keuntungan, tetapi juga dari kual</w:t>
      </w:r>
      <w:r>
        <w:t>itas proses bisnis yang dijalankan secara adil dan transparan.</w:t>
      </w:r>
    </w:p>
    <w:p w:rsidR="004B4BDC" w:rsidRDefault="007F3D57">
      <w:pPr>
        <w:spacing w:after="120"/>
        <w:ind w:firstLine="425"/>
        <w:jc w:val="both"/>
      </w:pPr>
      <w:r>
        <w:t xml:space="preserve">Selain itu, konsep </w:t>
      </w:r>
      <w:r>
        <w:rPr>
          <w:i/>
          <w:iCs/>
        </w:rPr>
        <w:t>maslahah</w:t>
      </w:r>
      <w:r>
        <w:t xml:space="preserve"> dalam ekonomi Islam menegaskan bahwa pertumbuhan laba seharusnya memberikan manfaat tidak hanya bagi pemilik modal, tetapi juga bagi karyawan, masyarakat, dan lingku</w:t>
      </w:r>
      <w:r>
        <w:t>ngan. Dengan demikian, perubahan laba mencerminkan keberlanjutan usaha yang selaras dengan prinsip amanah dan keadilan dalam Islam [23].</w:t>
      </w:r>
    </w:p>
    <w:p w:rsidR="004B4BDC" w:rsidRDefault="007F3D57">
      <w:pPr>
        <w:spacing w:before="240" w:after="120"/>
      </w:pPr>
      <w:r>
        <w:rPr>
          <w:b/>
          <w:bCs/>
        </w:rPr>
        <w:t>4. KESIMPULAN</w:t>
      </w:r>
    </w:p>
    <w:p w:rsidR="004B4BDC" w:rsidRDefault="007F3D57">
      <w:pPr>
        <w:spacing w:after="120"/>
        <w:ind w:firstLine="425"/>
        <w:jc w:val="both"/>
      </w:pPr>
      <w:r>
        <w:t>Penelitian ini menganalisis pengaruh empat rasio keuangan terhadap perubahan laba perusahaan manufaktur d</w:t>
      </w:r>
      <w:r>
        <w:t xml:space="preserve">i Bursa Efek Indonesia selama periode 2020-2023. Temuan utama menunjukkan bahwa </w:t>
      </w:r>
      <w:r>
        <w:rPr>
          <w:i/>
          <w:iCs/>
        </w:rPr>
        <w:t>Net Profit Margin</w:t>
      </w:r>
      <w:r>
        <w:t xml:space="preserve"> merupakan faktor signifikan yang memengaruhi perubahan laba, sedangkan </w:t>
      </w:r>
      <w:r>
        <w:rPr>
          <w:i/>
          <w:iCs/>
        </w:rPr>
        <w:t>Current Ratio, Debt to Equity Ratio</w:t>
      </w:r>
      <w:r>
        <w:t xml:space="preserve">, dan </w:t>
      </w:r>
      <w:r>
        <w:rPr>
          <w:i/>
          <w:iCs/>
        </w:rPr>
        <w:t>Total Asset Turnover</w:t>
      </w:r>
      <w:r>
        <w:t xml:space="preserve"> tidak berpengaruh signifi</w:t>
      </w:r>
      <w:r>
        <w:t>kan secara parsial. Namun, secara simultan keempat variabel memberikan kontribusi signifikan terhadap perubahan laba, dengan koefisien determinasi sebesar 38,7%.</w:t>
      </w:r>
    </w:p>
    <w:p w:rsidR="004B4BDC" w:rsidRDefault="007F3D57">
      <w:pPr>
        <w:spacing w:after="120"/>
        <w:ind w:firstLine="425"/>
        <w:jc w:val="both"/>
      </w:pPr>
      <w:r>
        <w:t>Temuan ini mengimplikasikan bahwa manajemen perusahaan manufaktur sebaiknya mengutamakan penin</w:t>
      </w:r>
      <w:r>
        <w:t xml:space="preserve">gkatan efisiensi operasional dan margin keuntungan daripada sekadar mengelola likuiditas atau struktur modal. Investor dalam membuat keputusan investasi disarankan untuk memperhatikan tren </w:t>
      </w:r>
      <w:r>
        <w:rPr>
          <w:i/>
          <w:iCs/>
        </w:rPr>
        <w:t>Net Profit Margin</w:t>
      </w:r>
      <w:r>
        <w:t xml:space="preserve"> sebagai indikator utama potensi perubahan laba po</w:t>
      </w:r>
      <w:r>
        <w:t xml:space="preserve">sitif. Dari perspektif syariah, perusahaan yang konsisten menghasilkan </w:t>
      </w:r>
      <w:r>
        <w:rPr>
          <w:i/>
          <w:iCs/>
        </w:rPr>
        <w:t>Net Profit Margin</w:t>
      </w:r>
      <w:r>
        <w:t xml:space="preserve"> tinggi menunjukkan komitmen pada prinsip amanah dan keadilan ekonomi, sehingga lebih layak menjadi pilihan investasi bagi investor muslim.</w:t>
      </w:r>
    </w:p>
    <w:p w:rsidR="004B4BDC" w:rsidRDefault="007F3D57">
      <w:pPr>
        <w:spacing w:after="120"/>
        <w:ind w:firstLine="425"/>
        <w:jc w:val="both"/>
      </w:pPr>
      <w:r>
        <w:t>Keterbatasan penelitian meli</w:t>
      </w:r>
      <w:r>
        <w:t>puti periode observasi yang terbatas (empat tahun), jumlah sampel yang relatif kecil (sebelas perusahaan), dan tidak dimasukkannya variabel makroekonomi seperti tingkat inflasi atau suku bunga. Penelitian mendatang disarankan untuk memperluas periode penga</w:t>
      </w:r>
      <w:r>
        <w:t>matan, meningkatkan jumlah sampel, dan mengintegrasikan variabel eksternal yang dapat memengaruhi perubahan laba perusahaan manufaktur secara lebih komprehensif.</w:t>
      </w:r>
    </w:p>
    <w:p w:rsidR="000B571A" w:rsidRDefault="000B571A">
      <w:pPr>
        <w:spacing w:before="240" w:after="120"/>
        <w:rPr>
          <w:b/>
          <w:bCs/>
        </w:rPr>
      </w:pPr>
    </w:p>
    <w:p w:rsidR="004B4BDC" w:rsidRDefault="007F3D57">
      <w:pPr>
        <w:spacing w:before="240" w:after="120"/>
      </w:pPr>
      <w:bookmarkStart w:id="0" w:name="_GoBack"/>
      <w:bookmarkEnd w:id="0"/>
      <w:r>
        <w:rPr>
          <w:b/>
          <w:bCs/>
        </w:rPr>
        <w:t>REFERENSI</w:t>
      </w:r>
    </w:p>
    <w:p w:rsidR="004B4BDC" w:rsidRDefault="007F3D57">
      <w:pPr>
        <w:spacing w:after="80"/>
        <w:ind w:left="340" w:hanging="340"/>
        <w:jc w:val="both"/>
      </w:pPr>
      <w:r>
        <w:rPr>
          <w:sz w:val="16"/>
          <w:szCs w:val="16"/>
        </w:rPr>
        <w:t>[1] I. Farida and R. Hidayat, "Pengaruh Rasio Keuangan terhadap Kinerja Keuangan Perusahaan Ditinjau dari Perspektif Syariah," Jurnal</w:t>
      </w:r>
      <w:r>
        <w:rPr>
          <w:sz w:val="16"/>
          <w:szCs w:val="16"/>
        </w:rPr>
        <w:t xml:space="preserve"> Ekonomi Syariah, vol. 13, no. 1, pp. 45-58, 2021.</w:t>
      </w:r>
    </w:p>
    <w:p w:rsidR="004B4BDC" w:rsidRDefault="007F3D57">
      <w:pPr>
        <w:spacing w:after="80"/>
        <w:ind w:left="340" w:hanging="340"/>
        <w:jc w:val="both"/>
      </w:pPr>
      <w:r>
        <w:rPr>
          <w:sz w:val="16"/>
          <w:szCs w:val="16"/>
        </w:rPr>
        <w:t>[2] Astuti et al., Analisis Laporan Keuangan. CV. Media Sains Indonesia, n.d.</w:t>
      </w:r>
    </w:p>
    <w:p w:rsidR="004B4BDC" w:rsidRDefault="007F3D57">
      <w:pPr>
        <w:spacing w:after="80"/>
        <w:ind w:left="340" w:hanging="340"/>
        <w:jc w:val="both"/>
      </w:pPr>
      <w:r>
        <w:rPr>
          <w:sz w:val="16"/>
          <w:szCs w:val="16"/>
        </w:rPr>
        <w:t>[3] Nurhaliza et al., "Pengaruh Total Asset Turnover terhadap Perubahan Laba Perusahaan Sektor Industri Dasar dan Kimia di BEI,</w:t>
      </w:r>
      <w:r>
        <w:rPr>
          <w:sz w:val="16"/>
          <w:szCs w:val="16"/>
        </w:rPr>
        <w:t>" Jurnal Akuntansi &amp; Keuangan Kontemporer, vol. 5, no. 2, pp. 112-123, 2023.</w:t>
      </w:r>
    </w:p>
    <w:p w:rsidR="004B4BDC" w:rsidRDefault="007F3D57">
      <w:pPr>
        <w:spacing w:after="80"/>
        <w:ind w:left="340" w:hanging="340"/>
        <w:jc w:val="both"/>
      </w:pPr>
      <w:r>
        <w:rPr>
          <w:sz w:val="16"/>
          <w:szCs w:val="16"/>
        </w:rPr>
        <w:t>[4] Otoritas Jasa Keuangan, Statistik Pasar Modal Syariah Indonesia Januari 2024. Jakarta: Otoritas Jasa Keuangan, 2024.</w:t>
      </w:r>
    </w:p>
    <w:p w:rsidR="004B4BDC" w:rsidRDefault="007F3D57">
      <w:pPr>
        <w:spacing w:after="80"/>
        <w:ind w:left="340" w:hanging="340"/>
        <w:jc w:val="both"/>
      </w:pPr>
      <w:r>
        <w:rPr>
          <w:sz w:val="16"/>
          <w:szCs w:val="16"/>
        </w:rPr>
        <w:t>[5] Sari and Wibowo, "Pengaruh Debt to Equity Ratio terhad</w:t>
      </w:r>
      <w:r>
        <w:rPr>
          <w:sz w:val="16"/>
          <w:szCs w:val="16"/>
        </w:rPr>
        <w:t>ap Laba Bersih Perusahaan Manufaktur di BEI," Jurnal Manajemen dan Keuangan, vol. 10, no. 3, pp. 223-233, 2022.</w:t>
      </w:r>
    </w:p>
    <w:p w:rsidR="004B4BDC" w:rsidRDefault="007F3D57">
      <w:pPr>
        <w:spacing w:after="80"/>
        <w:ind w:left="340" w:hanging="340"/>
        <w:jc w:val="both"/>
      </w:pPr>
      <w:r>
        <w:rPr>
          <w:sz w:val="16"/>
          <w:szCs w:val="16"/>
        </w:rPr>
        <w:t>[6] A. Happy and W. D. Warsitasari, "</w:t>
      </w:r>
      <w:r>
        <w:rPr>
          <w:sz w:val="16"/>
          <w:szCs w:val="16"/>
        </w:rPr>
        <w:t>Pengaruh Rasio Keuangan terhadap Pertumbuhan Laba pada Perusahaan Manufaktur yang Terdaftar di Bursa Efek Indonesia," Al-Kharaj: Jurnal Ekonomi, Keuangan &amp; Bisnis Syariah, vol. 6, no. 4, pp. 4758-4769, 2024.</w:t>
      </w:r>
    </w:p>
    <w:p w:rsidR="004B4BDC" w:rsidRDefault="007F3D57">
      <w:pPr>
        <w:spacing w:after="80"/>
        <w:ind w:left="340" w:hanging="340"/>
        <w:jc w:val="both"/>
      </w:pPr>
      <w:r>
        <w:rPr>
          <w:sz w:val="16"/>
          <w:szCs w:val="16"/>
        </w:rPr>
        <w:t>[7] F. Izzadieny et al., "Kepatuhan Syariah, Man</w:t>
      </w:r>
      <w:r>
        <w:rPr>
          <w:sz w:val="16"/>
          <w:szCs w:val="16"/>
        </w:rPr>
        <w:t>ajemen Laba dan Kepemilikan Kas: Bukti Empiris pada Perusahaan Manufaktur di Indonesia," Jurnal Hukum Ekonomi Syariah, vol. 8, no. 2, pp. 133-151, 2024.</w:t>
      </w:r>
    </w:p>
    <w:p w:rsidR="004B4BDC" w:rsidRDefault="007F3D57">
      <w:pPr>
        <w:spacing w:after="80"/>
        <w:ind w:left="340" w:hanging="340"/>
        <w:jc w:val="both"/>
      </w:pPr>
      <w:r>
        <w:rPr>
          <w:sz w:val="16"/>
          <w:szCs w:val="16"/>
        </w:rPr>
        <w:t>[8] W. Sadara et al., "Pengaruh Financial Distress dan Sharia Compliance terhadap Manajemen Laba pada P</w:t>
      </w:r>
      <w:r>
        <w:rPr>
          <w:sz w:val="16"/>
          <w:szCs w:val="16"/>
        </w:rPr>
        <w:t>erusahaan yang Terdaftar di Jakarta Islamic Index Tahun 2020-2022," Jurnal Akuntansi Malikussaleh (JAM), vol. 3, no. 3, pp. 341-355, 2024.</w:t>
      </w:r>
    </w:p>
    <w:p w:rsidR="004B4BDC" w:rsidRDefault="007F3D57">
      <w:pPr>
        <w:spacing w:after="80"/>
        <w:ind w:left="340" w:hanging="340"/>
        <w:jc w:val="both"/>
      </w:pPr>
      <w:r>
        <w:rPr>
          <w:sz w:val="16"/>
          <w:szCs w:val="16"/>
        </w:rPr>
        <w:t>[9] N. Rosdiani and A. Hidayat, "Pengaruh Derivatif Keuangan, Konservatisme Akuntansi dan Intensitas Aset Tetap terha</w:t>
      </w:r>
      <w:r>
        <w:rPr>
          <w:sz w:val="16"/>
          <w:szCs w:val="16"/>
        </w:rPr>
        <w:t>dap Penghindaran Pajak," Journal of Technopreneurship on Economics and Business Review, vol. 1, no. 2, p. 136, 2020.</w:t>
      </w:r>
    </w:p>
    <w:p w:rsidR="004B4BDC" w:rsidRDefault="007F3D57">
      <w:pPr>
        <w:spacing w:after="80"/>
        <w:ind w:left="340" w:hanging="340"/>
        <w:jc w:val="both"/>
      </w:pPr>
      <w:r>
        <w:rPr>
          <w:sz w:val="16"/>
          <w:szCs w:val="16"/>
        </w:rPr>
        <w:t>[10] N. R. Masiaga et al., "Pengaruh Keamanan dan Kepercayaan terhadap Kepuasan Pelanggan di Kota Manado yang Berbelanja Secara Online di L</w:t>
      </w:r>
      <w:r>
        <w:rPr>
          <w:sz w:val="16"/>
          <w:szCs w:val="16"/>
        </w:rPr>
        <w:t>azada.com," Jurnal EMBA, vol. 10, no. 2, p. 903, 2022.</w:t>
      </w:r>
    </w:p>
    <w:p w:rsidR="004B4BDC" w:rsidRDefault="007F3D57">
      <w:pPr>
        <w:spacing w:after="80"/>
        <w:ind w:left="340" w:hanging="340"/>
        <w:jc w:val="both"/>
      </w:pPr>
      <w:r>
        <w:rPr>
          <w:sz w:val="16"/>
          <w:szCs w:val="16"/>
        </w:rPr>
        <w:t>[11] F. Marnilin et al., "Pengaruh Perceived Value terhadap Kepuasan Implementasi Program MBKM," Jurnal Ilmiah Manajemen Kesatuan, vol. 11, no. 1, p. 4, 2022.</w:t>
      </w:r>
    </w:p>
    <w:p w:rsidR="004B4BDC" w:rsidRDefault="007F3D57">
      <w:pPr>
        <w:spacing w:after="80"/>
        <w:ind w:left="340" w:hanging="340"/>
        <w:jc w:val="both"/>
      </w:pPr>
      <w:r>
        <w:rPr>
          <w:sz w:val="16"/>
          <w:szCs w:val="16"/>
        </w:rPr>
        <w:t>[12] A. Zahriyah et al., Ekonometrika. Man</w:t>
      </w:r>
      <w:r>
        <w:rPr>
          <w:sz w:val="16"/>
          <w:szCs w:val="16"/>
        </w:rPr>
        <w:t>dala Press Anggota APPTI-Afiliasi Penerbit Perguruan Tinggi Indonesia, 2021.</w:t>
      </w:r>
    </w:p>
    <w:p w:rsidR="004B4BDC" w:rsidRDefault="007F3D57">
      <w:pPr>
        <w:spacing w:after="80"/>
        <w:ind w:left="340" w:hanging="340"/>
        <w:jc w:val="both"/>
      </w:pPr>
      <w:r>
        <w:rPr>
          <w:sz w:val="16"/>
          <w:szCs w:val="16"/>
        </w:rPr>
        <w:t>[13] R. W. J. Hutagalung and Y. N. Malau, "Pengaruh Rasio Keuangan terhadap Perubahan Laba pada Perusahaan Manufaktur di Bursa Efek Indonesia Ditinjau dari Perspektif Syariah," JI</w:t>
      </w:r>
      <w:r>
        <w:rPr>
          <w:sz w:val="16"/>
          <w:szCs w:val="16"/>
        </w:rPr>
        <w:t>MEK: Jurnal Ilmiah Mahasiswa Ekonomi, vol. 3, no. 1, pp. 23-24, 2020.</w:t>
      </w:r>
    </w:p>
    <w:p w:rsidR="004B4BDC" w:rsidRDefault="007F3D57">
      <w:pPr>
        <w:spacing w:after="80"/>
        <w:ind w:left="340" w:hanging="340"/>
        <w:jc w:val="both"/>
      </w:pPr>
      <w:r>
        <w:rPr>
          <w:sz w:val="16"/>
          <w:szCs w:val="16"/>
        </w:rPr>
        <w:t>[14] A. Mukti et al., "Pengaruh Rasio Keuangan terhadap Perubahan Laba pada Perusahaan Batubara dan Migas yang Terdaftar di BEI (Periode Sebelum dan Setelah Perang Rusia-Ukraina Tahun 20</w:t>
      </w:r>
      <w:r>
        <w:rPr>
          <w:sz w:val="16"/>
          <w:szCs w:val="16"/>
        </w:rPr>
        <w:t>21-2022)," Indonesian Accounting Literacy Journal, vol. 5, no. 2, p. 190, 2025.</w:t>
      </w:r>
    </w:p>
    <w:p w:rsidR="004B4BDC" w:rsidRDefault="007F3D57">
      <w:pPr>
        <w:spacing w:after="80"/>
        <w:ind w:left="340" w:hanging="340"/>
        <w:jc w:val="both"/>
      </w:pPr>
      <w:r>
        <w:rPr>
          <w:sz w:val="16"/>
          <w:szCs w:val="16"/>
        </w:rPr>
        <w:t>[15] Rodhiyah et al., "Pengaruh Current Ratio (CR), Debt to Equity Ratio (DER), dan Return on Equity (ROE) terhadap Perubahan Laba pada Perusahaan Pertambangan yang Terdaftar d</w:t>
      </w:r>
      <w:r>
        <w:rPr>
          <w:sz w:val="16"/>
          <w:szCs w:val="16"/>
        </w:rPr>
        <w:t>i Bursa Efek Indonesia," Income: Jurnal Akuntansi dan Keuangan, vol. 3, no. 2, p. 22, 2022.</w:t>
      </w:r>
    </w:p>
    <w:p w:rsidR="004B4BDC" w:rsidRDefault="007F3D57">
      <w:pPr>
        <w:spacing w:after="80"/>
        <w:ind w:left="340" w:hanging="340"/>
        <w:jc w:val="both"/>
      </w:pPr>
      <w:r>
        <w:rPr>
          <w:sz w:val="16"/>
          <w:szCs w:val="16"/>
        </w:rPr>
        <w:t xml:space="preserve">[16] Y. Priyono et al., "Pengaruh Current Ratio, Debt to Equity, dan Total Assets Turnover terhadap Perubahan Laba," Jurnal Akuntansi dan Pajak, vol. 22, no. 2, p. </w:t>
      </w:r>
      <w:r>
        <w:rPr>
          <w:sz w:val="16"/>
          <w:szCs w:val="16"/>
        </w:rPr>
        <w:t>1001, 2022.</w:t>
      </w:r>
    </w:p>
    <w:p w:rsidR="004B4BDC" w:rsidRDefault="007F3D57">
      <w:pPr>
        <w:spacing w:after="80"/>
        <w:ind w:left="340" w:hanging="340"/>
        <w:jc w:val="both"/>
      </w:pPr>
      <w:r>
        <w:rPr>
          <w:sz w:val="16"/>
          <w:szCs w:val="16"/>
        </w:rPr>
        <w:lastRenderedPageBreak/>
        <w:t>[17] R. D. Ramadhan and S. W. Jamal, "Analisis Total Asset Turnover (TATO) terhadap Perubahan Laba (Studi Kasus pada Sub Sektor Kelapa Sawit yang Terdaftar di BEI Tahun 2015-2019)," Borneo Student Research, vol. 4, no. 1, p. 1444, 2021.</w:t>
      </w:r>
    </w:p>
    <w:p w:rsidR="004B4BDC" w:rsidRDefault="007F3D57">
      <w:pPr>
        <w:spacing w:after="80"/>
        <w:ind w:left="340" w:hanging="340"/>
        <w:jc w:val="both"/>
      </w:pPr>
      <w:r>
        <w:rPr>
          <w:sz w:val="16"/>
          <w:szCs w:val="16"/>
        </w:rPr>
        <w:t xml:space="preserve">[18] </w:t>
      </w:r>
      <w:r>
        <w:rPr>
          <w:sz w:val="16"/>
          <w:szCs w:val="16"/>
        </w:rPr>
        <w:t>M. C. Patricia and C. Anwar, "Analisis Pengaruh Current Ratio, Return on Equity, Debt to Equity Ratio dan Total Asset Turnover terhadap Perubahan Laba (Studi Empiris pada Perusahaan Manufaktur Sektor Industri Barang Konsumsi yang Terdaftar di Bursa Efek In</w:t>
      </w:r>
      <w:r>
        <w:rPr>
          <w:sz w:val="16"/>
          <w:szCs w:val="16"/>
        </w:rPr>
        <w:t>donesia Tahun 2015-2017)," Journal of Accounting, Management &amp; Entrepreneurship, vol. 21, no. 1, p. 14, 2023.</w:t>
      </w:r>
    </w:p>
    <w:p w:rsidR="004B4BDC" w:rsidRDefault="007F3D57">
      <w:pPr>
        <w:spacing w:after="80"/>
        <w:ind w:left="340" w:hanging="340"/>
        <w:jc w:val="both"/>
      </w:pPr>
      <w:r>
        <w:rPr>
          <w:sz w:val="16"/>
          <w:szCs w:val="16"/>
        </w:rPr>
        <w:t>[19] V. S. E. Janrosl, "Pengaruh Inventory Turnover, Total Asset Turnover dan Net Profit Margin terhadap Perubahan Laba pada Perusahaan Manufaktur</w:t>
      </w:r>
      <w:r>
        <w:rPr>
          <w:sz w:val="16"/>
          <w:szCs w:val="16"/>
        </w:rPr>
        <w:t xml:space="preserve"> yang Terdaftar di Bursa Efek Indonesia," Jurnal Magister Manajemen, vol. 1, no. 2, p. 229, 2024.</w:t>
      </w:r>
    </w:p>
    <w:p w:rsidR="004B4BDC" w:rsidRDefault="007F3D57">
      <w:pPr>
        <w:spacing w:after="80"/>
        <w:ind w:left="340" w:hanging="340"/>
        <w:jc w:val="both"/>
      </w:pPr>
      <w:r>
        <w:rPr>
          <w:sz w:val="16"/>
          <w:szCs w:val="16"/>
        </w:rPr>
        <w:t>[20] D. R. Paramitha and E. Sisdianto, "Analisis Rasio Keuangan sebagai Alat Evaluasi Laporan Keuangan Syariah," PT. Media Akademik Publisher, vol. 2, no. 12,</w:t>
      </w:r>
      <w:r>
        <w:rPr>
          <w:sz w:val="16"/>
          <w:szCs w:val="16"/>
        </w:rPr>
        <w:t xml:space="preserve"> p. 2, 2024.</w:t>
      </w:r>
    </w:p>
    <w:p w:rsidR="004B4BDC" w:rsidRDefault="007F3D57">
      <w:pPr>
        <w:spacing w:after="80"/>
        <w:ind w:left="340" w:hanging="340"/>
        <w:jc w:val="both"/>
      </w:pPr>
      <w:r>
        <w:rPr>
          <w:sz w:val="16"/>
          <w:szCs w:val="16"/>
        </w:rPr>
        <w:t>[21] R. P. Ningrum et al., "Analisis Rasio Keuangan untuk Mengetahui Kinerja Bank Syariah Indonesia," Jurnal Ekonomika dan Bisnis Islam, vol. 6, no. 3, pp. 44-45, 2023.</w:t>
      </w:r>
    </w:p>
    <w:p w:rsidR="004B4BDC" w:rsidRDefault="007F3D57">
      <w:pPr>
        <w:spacing w:after="80"/>
        <w:ind w:left="340" w:hanging="340"/>
        <w:jc w:val="both"/>
      </w:pPr>
      <w:r>
        <w:rPr>
          <w:sz w:val="16"/>
          <w:szCs w:val="16"/>
        </w:rPr>
        <w:t>[22] Hasriady et al., "Analisis Konsep Laba dalam Akuntansi Syariah: Persp</w:t>
      </w:r>
      <w:r>
        <w:rPr>
          <w:sz w:val="16"/>
          <w:szCs w:val="16"/>
        </w:rPr>
        <w:t>ektif Teoritis dan Praktis untuk Praktik Keuangan Berkelanjutan," Journal of Economic and Business, vol. 1, no. 1, pp. 3348-3353, 2025.</w:t>
      </w:r>
    </w:p>
    <w:p w:rsidR="004B4BDC" w:rsidRDefault="007F3D57">
      <w:pPr>
        <w:spacing w:after="80"/>
        <w:ind w:left="340" w:hanging="340"/>
        <w:jc w:val="both"/>
      </w:pPr>
      <w:r>
        <w:rPr>
          <w:sz w:val="16"/>
          <w:szCs w:val="16"/>
        </w:rPr>
        <w:t xml:space="preserve">[23] Heriyanti and Taufiq, "Nilai-Nilai Ekonomi dan Etika Bisnis dalam Perspektif Islam," IMMI: Jurnal Ilmiah Mahasiswa </w:t>
      </w:r>
      <w:r>
        <w:rPr>
          <w:sz w:val="16"/>
          <w:szCs w:val="16"/>
        </w:rPr>
        <w:t>Multidisiplin, vol. 1, no. 1, pp. 24-37, 2024.</w:t>
      </w:r>
    </w:p>
    <w:sectPr w:rsidR="004B4BDC">
      <w:headerReference w:type="default" r:id="rId8"/>
      <w:footerReference w:type="default" r:id="rId9"/>
      <w:pgSz w:w="11906" w:h="16838"/>
      <w:pgMar w:top="1418" w:right="1134" w:bottom="1134" w:left="1418"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3D57" w:rsidRDefault="007F3D57">
      <w:r>
        <w:separator/>
      </w:r>
    </w:p>
  </w:endnote>
  <w:endnote w:type="continuationSeparator" w:id="0">
    <w:p w:rsidR="007F3D57" w:rsidRDefault="007F3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4BDC" w:rsidRDefault="007F3D57" w:rsidP="000B571A">
    <w:pPr>
      <w:pBdr>
        <w:top w:val="single" w:sz="6" w:space="4" w:color="auto"/>
      </w:pBdr>
    </w:pPr>
    <w:r>
      <w:rPr>
        <w:i/>
        <w:iCs/>
        <w:sz w:val="16"/>
        <w:szCs w:val="16"/>
      </w:rPr>
      <w:t xml:space="preserve">TANJAK: Jurnal Tinjauan </w:t>
    </w:r>
    <w:r w:rsidR="000B571A">
      <w:rPr>
        <w:i/>
        <w:iCs/>
        <w:sz w:val="16"/>
        <w:szCs w:val="16"/>
      </w:rPr>
      <w:t>Akuntansi</w:t>
    </w:r>
    <w:r>
      <w:rPr>
        <w:i/>
        <w:iCs/>
        <w:sz w:val="16"/>
        <w:szCs w:val="16"/>
      </w:rPr>
      <w:t xml:space="preserve"> Vol. </w:t>
    </w:r>
    <w:r w:rsidR="000B571A">
      <w:rPr>
        <w:i/>
        <w:iCs/>
        <w:sz w:val="16"/>
        <w:szCs w:val="16"/>
      </w:rPr>
      <w:t>1</w:t>
    </w:r>
    <w:r>
      <w:rPr>
        <w:i/>
        <w:iCs/>
        <w:sz w:val="16"/>
        <w:szCs w:val="16"/>
      </w:rPr>
      <w:t xml:space="preserve">, No. </w:t>
    </w:r>
    <w:r w:rsidR="000B571A">
      <w:rPr>
        <w:i/>
        <w:iCs/>
        <w:sz w:val="16"/>
        <w:szCs w:val="16"/>
      </w:rPr>
      <w:t>2</w:t>
    </w:r>
    <w:r>
      <w:rPr>
        <w:i/>
        <w:iCs/>
        <w:sz w:val="16"/>
        <w:szCs w:val="16"/>
      </w:rPr>
      <w:t xml:space="preserve">, </w:t>
    </w:r>
    <w:r w:rsidR="000B571A">
      <w:rPr>
        <w:i/>
        <w:iCs/>
        <w:sz w:val="16"/>
        <w:szCs w:val="16"/>
      </w:rPr>
      <w:t>Juni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3D57" w:rsidRDefault="007F3D57">
      <w:r>
        <w:separator/>
      </w:r>
    </w:p>
  </w:footnote>
  <w:footnote w:type="continuationSeparator" w:id="0">
    <w:p w:rsidR="007F3D57" w:rsidRDefault="007F3D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4BDC" w:rsidRDefault="007F3D57">
    <w:r>
      <w:rPr>
        <w:b/>
        <w:bCs/>
        <w:sz w:val="18"/>
        <w:szCs w:val="18"/>
      </w:rPr>
      <w:t>TANJAK; Jurnal Tinjauan Syariah</w:t>
    </w:r>
  </w:p>
  <w:p w:rsidR="004B4BDC" w:rsidRDefault="007F3D57" w:rsidP="000B571A">
    <w:r>
      <w:rPr>
        <w:sz w:val="16"/>
        <w:szCs w:val="16"/>
      </w:rPr>
      <w:t xml:space="preserve">Vol. </w:t>
    </w:r>
    <w:r w:rsidR="000B571A">
      <w:rPr>
        <w:sz w:val="16"/>
        <w:szCs w:val="16"/>
      </w:rPr>
      <w:t>1, No. 2</w:t>
    </w:r>
    <w:r>
      <w:rPr>
        <w:sz w:val="16"/>
        <w:szCs w:val="16"/>
      </w:rPr>
      <w:t xml:space="preserve">, </w:t>
    </w:r>
    <w:r w:rsidR="000B571A">
      <w:rPr>
        <w:sz w:val="16"/>
        <w:szCs w:val="16"/>
      </w:rPr>
      <w:t>Juni 2026</w:t>
    </w:r>
  </w:p>
  <w:p w:rsidR="004B4BDC" w:rsidRDefault="007F3D57">
    <w:pPr>
      <w:pBdr>
        <w:bottom w:val="single" w:sz="6" w:space="4" w:color="auto"/>
      </w:pBdr>
      <w:tabs>
        <w:tab w:val="right" w:pos="9026"/>
      </w:tabs>
    </w:pPr>
    <w:r>
      <w:rPr>
        <w:sz w:val="16"/>
        <w:szCs w:val="16"/>
      </w:rPr>
      <w:t>ISSN: xxxx-xxxx, DOI: xx.xxxxx/tanjak.vxix.paperID</w:t>
    </w:r>
    <w:r>
      <w:rPr>
        <w:sz w:val="16"/>
        <w:szCs w:val="16"/>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9F06090"/>
    <w:multiLevelType w:val="hybridMultilevel"/>
    <w:tmpl w:val="8162296E"/>
    <w:lvl w:ilvl="0" w:tplc="AEB26316">
      <w:start w:val="1"/>
      <w:numFmt w:val="bullet"/>
      <w:lvlText w:val="●"/>
      <w:lvlJc w:val="left"/>
      <w:pPr>
        <w:ind w:left="720" w:hanging="360"/>
      </w:pPr>
    </w:lvl>
    <w:lvl w:ilvl="1" w:tplc="9A16D23C">
      <w:start w:val="1"/>
      <w:numFmt w:val="bullet"/>
      <w:lvlText w:val="○"/>
      <w:lvlJc w:val="left"/>
      <w:pPr>
        <w:ind w:left="1440" w:hanging="360"/>
      </w:pPr>
    </w:lvl>
    <w:lvl w:ilvl="2" w:tplc="C9FC5774">
      <w:start w:val="1"/>
      <w:numFmt w:val="bullet"/>
      <w:lvlText w:val="■"/>
      <w:lvlJc w:val="left"/>
      <w:pPr>
        <w:ind w:left="2160" w:hanging="360"/>
      </w:pPr>
    </w:lvl>
    <w:lvl w:ilvl="3" w:tplc="94CCEE5C">
      <w:start w:val="1"/>
      <w:numFmt w:val="bullet"/>
      <w:lvlText w:val="●"/>
      <w:lvlJc w:val="left"/>
      <w:pPr>
        <w:ind w:left="2880" w:hanging="360"/>
      </w:pPr>
    </w:lvl>
    <w:lvl w:ilvl="4" w:tplc="FDCAF3CE">
      <w:start w:val="1"/>
      <w:numFmt w:val="bullet"/>
      <w:lvlText w:val="○"/>
      <w:lvlJc w:val="left"/>
      <w:pPr>
        <w:ind w:left="3600" w:hanging="360"/>
      </w:pPr>
    </w:lvl>
    <w:lvl w:ilvl="5" w:tplc="B84CF064">
      <w:start w:val="1"/>
      <w:numFmt w:val="bullet"/>
      <w:lvlText w:val="■"/>
      <w:lvlJc w:val="left"/>
      <w:pPr>
        <w:ind w:left="4320" w:hanging="360"/>
      </w:pPr>
    </w:lvl>
    <w:lvl w:ilvl="6" w:tplc="B2BA22D2">
      <w:start w:val="1"/>
      <w:numFmt w:val="bullet"/>
      <w:lvlText w:val="●"/>
      <w:lvlJc w:val="left"/>
      <w:pPr>
        <w:ind w:left="5040" w:hanging="360"/>
      </w:pPr>
    </w:lvl>
    <w:lvl w:ilvl="7" w:tplc="404046DC">
      <w:start w:val="1"/>
      <w:numFmt w:val="bullet"/>
      <w:lvlText w:val="●"/>
      <w:lvlJc w:val="left"/>
      <w:pPr>
        <w:ind w:left="5760" w:hanging="360"/>
      </w:pPr>
    </w:lvl>
    <w:lvl w:ilvl="8" w:tplc="EEB07B68">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BDC"/>
    <w:rsid w:val="000B571A"/>
    <w:rsid w:val="004B29D7"/>
    <w:rsid w:val="004B4BDC"/>
    <w:rsid w:val="007F3D5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EA6B9BA-C160-40D3-8515-16742885E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B571A"/>
    <w:pPr>
      <w:tabs>
        <w:tab w:val="center" w:pos="4680"/>
        <w:tab w:val="right" w:pos="9360"/>
      </w:tabs>
    </w:pPr>
  </w:style>
  <w:style w:type="character" w:customStyle="1" w:styleId="HeaderChar">
    <w:name w:val="Header Char"/>
    <w:basedOn w:val="DefaultParagraphFont"/>
    <w:link w:val="Header"/>
    <w:uiPriority w:val="99"/>
    <w:rsid w:val="000B571A"/>
  </w:style>
  <w:style w:type="paragraph" w:styleId="Footer">
    <w:name w:val="footer"/>
    <w:basedOn w:val="Normal"/>
    <w:link w:val="FooterChar"/>
    <w:uiPriority w:val="99"/>
    <w:unhideWhenUsed/>
    <w:rsid w:val="000B571A"/>
    <w:pPr>
      <w:tabs>
        <w:tab w:val="center" w:pos="4680"/>
        <w:tab w:val="right" w:pos="9360"/>
      </w:tabs>
    </w:pPr>
  </w:style>
  <w:style w:type="character" w:customStyle="1" w:styleId="FooterChar">
    <w:name w:val="Footer Char"/>
    <w:basedOn w:val="DefaultParagraphFont"/>
    <w:link w:val="Footer"/>
    <w:uiPriority w:val="99"/>
    <w:rsid w:val="000B57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F0D7A8-1769-4065-A24D-534551A036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4981</Words>
  <Characters>28398</Characters>
  <Application>Microsoft Office Word</Application>
  <DocSecurity>0</DocSecurity>
  <Lines>236</Lines>
  <Paragraphs>66</Paragraphs>
  <ScaleCrop>false</ScaleCrop>
  <Company/>
  <LinksUpToDate>false</LinksUpToDate>
  <CharactersWithSpaces>33313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Microsoft account</cp:lastModifiedBy>
  <cp:revision>3</cp:revision>
  <dcterms:created xsi:type="dcterms:W3CDTF">2026-08-28T23:44:00Z</dcterms:created>
  <dcterms:modified xsi:type="dcterms:W3CDTF">2026-08-29T04:32:00Z</dcterms:modified>
</cp:coreProperties>
</file>