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6D73" w:rsidRDefault="00D4374B">
      <w:pPr>
        <w:spacing w:after="200"/>
        <w:jc w:val="center"/>
      </w:pPr>
      <w:r>
        <w:rPr>
          <w:b/>
          <w:bCs/>
          <w:sz w:val="32"/>
          <w:szCs w:val="32"/>
        </w:rPr>
        <w:t>Pengaruh Penerapan Prinsip Good Corporate Governance terhadap Kinerja Lembaga Pengelola Zakat (Studi pada BAZNAS Kabupaten Bengkalis)</w:t>
      </w:r>
    </w:p>
    <w:p w:rsidR="00B46D73" w:rsidRPr="000A1E99" w:rsidRDefault="00D4374B">
      <w:pPr>
        <w:jc w:val="center"/>
        <w:rPr>
          <w:b/>
          <w:bCs/>
        </w:rPr>
      </w:pPr>
      <w:r w:rsidRPr="000A1E99">
        <w:rPr>
          <w:b/>
          <w:bCs/>
        </w:rPr>
        <w:t>Nurisa</w:t>
      </w:r>
      <w:r w:rsidR="000A1E99" w:rsidRPr="000A1E99">
        <w:rPr>
          <w:b/>
          <w:bCs/>
          <w:vertAlign w:val="superscript"/>
        </w:rPr>
        <w:t>1</w:t>
      </w:r>
    </w:p>
    <w:p w:rsidR="00B46D73" w:rsidRDefault="00D4374B">
      <w:pPr>
        <w:jc w:val="center"/>
      </w:pPr>
      <w:r>
        <w:rPr>
          <w:sz w:val="16"/>
          <w:szCs w:val="16"/>
        </w:rPr>
        <w:t>Program Studi Akuntansi Syariah, Fakultas Syariah dan Ekonomi Islam</w:t>
      </w:r>
    </w:p>
    <w:p w:rsidR="00B46D73" w:rsidRDefault="00D4374B">
      <w:pPr>
        <w:spacing w:after="200"/>
        <w:jc w:val="center"/>
      </w:pPr>
      <w:r>
        <w:rPr>
          <w:sz w:val="16"/>
          <w:szCs w:val="16"/>
        </w:rPr>
        <w:t>Institut Agama Islam Negeri (IAIN) Datuk Laksamana Bengkalis, Indonesia</w:t>
      </w:r>
    </w:p>
    <w:tbl>
      <w:tblPr>
        <w:tblW w:w="9360" w:type="dxa"/>
        <w:tblInd w:w="-10" w:type="dxa"/>
        <w:tblBorders>
          <w:top w:val="single" w:sz="4" w:space="0" w:color="auto"/>
        </w:tblBorders>
        <w:tblCellMar>
          <w:left w:w="10" w:type="dxa"/>
          <w:right w:w="10" w:type="dxa"/>
        </w:tblCellMar>
        <w:tblLook w:val="0000" w:firstRow="0" w:lastRow="0" w:firstColumn="0" w:lastColumn="0" w:noHBand="0" w:noVBand="0"/>
      </w:tblPr>
      <w:tblGrid>
        <w:gridCol w:w="2800"/>
        <w:gridCol w:w="6560"/>
      </w:tblGrid>
      <w:tr w:rsidR="00B46D73" w:rsidTr="000A1E99">
        <w:tblPrEx>
          <w:tblCellMar>
            <w:top w:w="0" w:type="dxa"/>
            <w:bottom w:w="0" w:type="dxa"/>
          </w:tblCellMar>
        </w:tblPrEx>
        <w:tc>
          <w:tcPr>
            <w:tcW w:w="2800" w:type="dxa"/>
          </w:tcPr>
          <w:p w:rsidR="00B46D73" w:rsidRDefault="00D4374B">
            <w:pPr>
              <w:spacing w:after="200"/>
            </w:pPr>
            <w:r>
              <w:rPr>
                <w:b/>
                <w:bCs/>
                <w:i/>
                <w:iCs/>
              </w:rPr>
              <w:t>Article Info</w:t>
            </w:r>
          </w:p>
          <w:p w:rsidR="00B46D73" w:rsidRDefault="00D4374B">
            <w:r>
              <w:rPr>
                <w:b/>
                <w:bCs/>
                <w:i/>
                <w:iCs/>
              </w:rPr>
              <w:t>Article history:</w:t>
            </w:r>
          </w:p>
          <w:p w:rsidR="00BB37BE" w:rsidRDefault="00BB37BE"/>
          <w:p w:rsidR="00BB37BE" w:rsidRDefault="00BB37BE"/>
          <w:p w:rsidR="00BB37BE" w:rsidRDefault="00BB37BE"/>
          <w:p w:rsidR="00BB37BE" w:rsidRDefault="00BB37BE"/>
          <w:p w:rsidR="00BB37BE" w:rsidRDefault="00BB37BE"/>
          <w:p w:rsidR="00BB37BE" w:rsidRDefault="00BB37BE"/>
          <w:p w:rsidR="00B46D73" w:rsidRDefault="00D4374B">
            <w:bookmarkStart w:id="0" w:name="_GoBack"/>
            <w:bookmarkEnd w:id="0"/>
            <w:r>
              <w:rPr>
                <w:b/>
                <w:bCs/>
                <w:i/>
                <w:iCs/>
              </w:rPr>
              <w:t>Keywords:</w:t>
            </w:r>
          </w:p>
          <w:p w:rsidR="00B46D73" w:rsidRDefault="00D4374B">
            <w:r>
              <w:t>Prinsip GCG</w:t>
            </w:r>
          </w:p>
          <w:p w:rsidR="00B46D73" w:rsidRDefault="00D4374B">
            <w:r>
              <w:t>Kinerja</w:t>
            </w:r>
          </w:p>
          <w:p w:rsidR="00B46D73" w:rsidRDefault="00D4374B">
            <w:r>
              <w:t>Pengelola Zakat</w:t>
            </w:r>
          </w:p>
        </w:tc>
        <w:tc>
          <w:tcPr>
            <w:tcW w:w="6560" w:type="dxa"/>
          </w:tcPr>
          <w:p w:rsidR="00B46D73" w:rsidRDefault="00D4374B" w:rsidP="000A1E99">
            <w:pPr>
              <w:spacing w:after="100"/>
            </w:pPr>
            <w:r>
              <w:rPr>
                <w:b/>
                <w:bCs/>
              </w:rPr>
              <w:t xml:space="preserve">ABSTRAK </w:t>
            </w:r>
          </w:p>
          <w:p w:rsidR="00B46D73" w:rsidRDefault="00D4374B">
            <w:pPr>
              <w:spacing w:after="200"/>
              <w:jc w:val="both"/>
            </w:pPr>
            <w:r>
              <w:t>Penelitian ini bertujuan un</w:t>
            </w:r>
            <w:r>
              <w:t>tuk menganalisis pengaruh penerapan prinsip-prinsip Good Corporate Governance (GCG) yang terdiri atas transparansi, akuntabilitas, pertanggungjawaban, independensi, dan kewajaran terhadap kinerja lembaga pengelola zakat pada Badan Amil Zakat Nasional (BAZN</w:t>
            </w:r>
            <w:r>
              <w:t>AS) Kabupaten Bengkalis. Penelitian ini dilatarbelakangi oleh pentingnya penerapan tata kelola yang baik dalam meningkatkan efektivitas dan profesionalisme pengelolaan zakat serta membangun kepercayaan masyarakat terhadap lembaga pengelola zakat. Penelitia</w:t>
            </w:r>
            <w:r>
              <w:t xml:space="preserve">n ini menggunakan metode kuantitatif dengan pendekatan survei. Data diperoleh melalui penyebaran kuesioner kepada seluruh karyawan/amil zakat dan Unit Pengumpul Zakat (UPZ) BAZNAS Kabupaten Bengkalis yang berjumlah 30 responden dengan teknik sampel jenuh. </w:t>
            </w:r>
            <w:r>
              <w:t>Analisis data dilakukan menggunakan analisis regresi linier berganda untuk menguji pengaruh masing-masing variabel independen terhadap kinerja lembaga pengelola zakat. Hasil penelitian menunjukkan bahwa secara parsial prinsip akuntabilitas dan prinsip pert</w:t>
            </w:r>
            <w:r>
              <w:t>anggungjawaban berpengaruh signifikan terhadap kinerja lembaga pengelola zakat dengan nilai signifikansi masing-masing sebesar 0,045 dan 0,010. Sementara itu, prinsip transparansi, independensi, dan kewajaran tidak berpengaruh signifikan terhadap kinerja l</w:t>
            </w:r>
            <w:r>
              <w:t>embaga pengelola zakat dengan nilai signifikansi masing-masing sebesar 0,915; 0,487; dan 0,506. Namun, secara simultan seluruh prinsip Good Corporate Governance berpengaruh signifikan terhadap kinerja lembaga pengelola zakat dengan nilai signifikansi sebes</w:t>
            </w:r>
            <w:r>
              <w:t>ar 0,000. Hasil penelitian ini menunjukkan bahwa penerapan prinsip-prinsip GCG secara menyeluruh mampu meningkatkan kinerja lembaga pengelola zakat di BAZNAS Kabupaten Bengkalis.</w:t>
            </w:r>
          </w:p>
          <w:p w:rsidR="00B46D73" w:rsidRDefault="00D4374B">
            <w:r>
              <w:rPr>
                <w:i/>
                <w:iCs/>
              </w:rPr>
              <w:t xml:space="preserve">Ini adalah artikel akses terbuka di bawah lisensi </w:t>
            </w:r>
            <w:hyperlink r:id="rId7" w:history="1">
              <w:r>
                <w:rPr>
                  <w:i/>
                  <w:iCs/>
                  <w:color w:val="0000FF"/>
                  <w:u w:val="single"/>
                </w:rPr>
                <w:t>CC BY-SA</w:t>
              </w:r>
            </w:hyperlink>
            <w:r>
              <w:rPr>
                <w:i/>
                <w:iCs/>
              </w:rPr>
              <w:t>.</w:t>
            </w:r>
          </w:p>
        </w:tc>
      </w:tr>
    </w:tbl>
    <w:p w:rsidR="00B46D73" w:rsidRDefault="00B46D73">
      <w:pPr>
        <w:pBdr>
          <w:bottom w:val="single" w:sz="6" w:space="4" w:color="000000"/>
        </w:pBdr>
        <w:spacing w:before="200" w:after="150"/>
      </w:pPr>
    </w:p>
    <w:p w:rsidR="00B46D73" w:rsidRDefault="00D4374B">
      <w:r>
        <w:rPr>
          <w:b/>
          <w:bCs/>
          <w:i/>
          <w:iCs/>
        </w:rPr>
        <w:t>Corresponding Author:</w:t>
      </w:r>
    </w:p>
    <w:p w:rsidR="00B46D73" w:rsidRDefault="00D4374B">
      <w:pPr>
        <w:spacing w:before="100"/>
      </w:pPr>
      <w:r>
        <w:t>Nurisa</w:t>
      </w:r>
    </w:p>
    <w:p w:rsidR="00B46D73" w:rsidRDefault="00D4374B">
      <w:r>
        <w:rPr>
          <w:b/>
          <w:bCs/>
        </w:rPr>
        <w:t>Program Studi Akuntansi Syariah, Fakultas Syariah dan Ekonomi Islam</w:t>
      </w:r>
    </w:p>
    <w:p w:rsidR="00B46D73" w:rsidRDefault="00D4374B">
      <w:r>
        <w:rPr>
          <w:b/>
          <w:bCs/>
        </w:rPr>
        <w:t>Institut Agama Islam Negeri (IAIN) Datuk Laksamana Bengkalis</w:t>
      </w:r>
    </w:p>
    <w:p w:rsidR="00B46D73" w:rsidRDefault="00D4374B">
      <w:r>
        <w:t>Email: nurisa1610@gmail.com</w:t>
      </w:r>
    </w:p>
    <w:p w:rsidR="00B46D73" w:rsidRDefault="00B46D73">
      <w:pPr>
        <w:pBdr>
          <w:bottom w:val="single" w:sz="6" w:space="4" w:color="000000"/>
        </w:pBdr>
        <w:spacing w:before="150" w:after="200"/>
      </w:pPr>
    </w:p>
    <w:p w:rsidR="00B46D73" w:rsidRDefault="00D4374B" w:rsidP="00D15F37">
      <w:pPr>
        <w:spacing w:before="200" w:after="100"/>
      </w:pPr>
      <w:r>
        <w:rPr>
          <w:b/>
          <w:bCs/>
          <w:color w:val="000000"/>
        </w:rPr>
        <w:t xml:space="preserve">1. PENDAHULUAN </w:t>
      </w:r>
    </w:p>
    <w:p w:rsidR="00B46D73" w:rsidRDefault="00D4374B">
      <w:pPr>
        <w:spacing w:after="100"/>
        <w:ind w:firstLine="431"/>
        <w:jc w:val="both"/>
      </w:pPr>
      <w:r>
        <w:t>Zakat merupakan salah satu instrumen penting dalam sistem ekonomi Islam yang memiliki fungsi sosial dan ekonomi untuk meningkatkan kesejahteraan masyarakat serta mengurangi kesenjangan sosial. Dalam perspektif ekonomi syariah, zakat tidak hanya dipahami se</w:t>
      </w:r>
      <w:r>
        <w:t>bagai kewajiban ibadah, tetapi juga sebagai mekanisme distribusi kekayaan yang mampu menciptakan pemerataan ekonomi dan mengurangi tingkat kemiskinan. Di Indonesia, pengelolaan zakat dilakukan oleh lembaga resmi, yaitu Badan Amil Zakat Nasional (BAZNAS) da</w:t>
      </w:r>
      <w:r>
        <w:t>n Lembaga Amil Zakat (LAZ), yang bertugas menghimpun, mengelola, serta menyalurkan dana zakat kepada mustahik secara efektif dan tepat sasaran. Oleh karena itu, kualitas tata kelola lembaga zakat menjadi faktor penting dalam menentukan keberhasilan pengelo</w:t>
      </w:r>
      <w:r>
        <w:t>laan dana zakat secara profesional dan berkelanjutan [1].</w:t>
      </w:r>
    </w:p>
    <w:p w:rsidR="00B46D73" w:rsidRDefault="00D4374B">
      <w:pPr>
        <w:spacing w:after="100"/>
        <w:ind w:firstLine="431"/>
        <w:jc w:val="both"/>
      </w:pPr>
      <w:r>
        <w:t>Perkembangan pengelolaan zakat di Indonesia mengalami peningkatan yang cukup signifikan dalam beberapa tahun terakhir, ditandai dengan meningkatnya penghimpunan dana zakat secara nasional dari tahun</w:t>
      </w:r>
      <w:r>
        <w:t xml:space="preserve"> ke tahun. </w:t>
      </w:r>
      <w:r>
        <w:lastRenderedPageBreak/>
        <w:t>Berdasarkan Outlook Zakat Indonesia 2024 yang diterbitkan oleh Pusat Kajian Strategis (PUSKAS) BAZNAS, penghimpunan zakat nasional pada tahun 2023 mencapai lebih dari Rp33 triliun, namun jumlah tersebut masih sangat kecil dibandingkan potensi za</w:t>
      </w:r>
      <w:r>
        <w:t>kat nasional yang diperkirakan mencapai Rp327,6 triliun per tahun, atau baru sekitar 10% dari total potensi zakat nasional. Kondisi ini menunjukkan bahwa pengelolaan zakat di Indonesia masih menghadapi berbagai tantangan, terutama dalam membangun kepercaya</w:t>
      </w:r>
      <w:r>
        <w:t>an masyarakat terhadap lembaga pengelola zakat [2].</w:t>
      </w:r>
    </w:p>
    <w:p w:rsidR="00B46D73" w:rsidRDefault="00D4374B">
      <w:pPr>
        <w:spacing w:after="100"/>
        <w:ind w:firstLine="431"/>
        <w:jc w:val="both"/>
      </w:pPr>
      <w:r>
        <w:t>Rendahnya tingkat realisasi penghimpunan zakat dibandingkan potensi zakat nasional menunjukkan bahwa lembaga pengelola zakat masih menghadapi persoalan dalam aspek tata kelola organisasi. Salah satu fakto</w:t>
      </w:r>
      <w:r>
        <w:t>r yang memengaruhi rendahnya penghimpunan zakat adalah kurang optimalnya penerapan prinsip Good Corporate Governance (GCG) pada lembaga pengelola zakat. Good Corporate Governance merupakan suatu sistem tata kelola organisasi yang menekankan prinsip transpa</w:t>
      </w:r>
      <w:r>
        <w:t>ransi, akuntabilitas, responsibilitas, independensi, dan kewajaran (fairness) dalam menjalankan kegiatan organisasi [3]. Penerapan prinsip-prinsip tersebut diyakini mampu meningkatkan profesionalisme lembaga sehingga dapat meningkatkan kepercayaan publik t</w:t>
      </w:r>
      <w:r>
        <w:t>erhadap lembaga pengelola zakat [4].</w:t>
      </w:r>
    </w:p>
    <w:p w:rsidR="00B46D73" w:rsidRDefault="00D4374B">
      <w:pPr>
        <w:spacing w:after="100"/>
        <w:ind w:firstLine="431"/>
        <w:jc w:val="both"/>
      </w:pPr>
      <w:r>
        <w:t>Kabupaten Bengkalis merupakan salah satu daerah di Provinsi Riau yang memiliki mayoritas penduduk Muslim dan potensi zakat yang cukup besar. BAZNAS Kabupaten Bengkalis sebagai lembaga resmi pengelola zakat memiliki tang</w:t>
      </w:r>
      <w:r>
        <w:t>gung jawab dalam menghimpun dan menyalurkan dana zakat secara efektif dan profesional. Akan tetapi, penghimpunan zakat di Kabupaten Bengkalis dinilai masih belum optimal apabila dibandingkan dengan jumlah penduduk Muslim serta potensi ekonomi masyarakat ya</w:t>
      </w:r>
      <w:r>
        <w:t>ng ada. Data rekapitulasi pengumpulan ZIS-DSKL BAZNAS Kabupaten Bengkalis tahun 2023-2025 menunjukkan bahwa realisasi penghimpunan dana zakat mengalami peningkatan setiap tahun, namun peningkatan tersebut masih belum mampu mencapai target yang telah diteta</w:t>
      </w:r>
      <w:r>
        <w:t>pkan. Jumlah muzaki juga mengalami naik turun dari tahun ke tahun, sehingga menunjukkan bahwa partisipasi masyarakat dalam menyalurkan zakat melalui BAZNAS Kabupaten Bengkalis belum stabil.</w:t>
      </w:r>
    </w:p>
    <w:p w:rsidR="00B46D73" w:rsidRDefault="00D4374B">
      <w:pPr>
        <w:spacing w:after="100"/>
        <w:ind w:firstLine="431"/>
        <w:jc w:val="both"/>
      </w:pPr>
      <w:r>
        <w:t>Berdasarkan hasil wawancara pendahuluan yang dilakukan peneliti de</w:t>
      </w:r>
      <w:r>
        <w:t>ngan salah satu karyawan BAZNAS Kabupaten Bengkalis, diketahui bahwa masih terdapat banyak masyarakat yang memilih menyalurkan zakat secara langsung kepada mustahik dibandingkan melalui BAZNAS, karena penyaluran secara langsung dinilai lebih cepat dan pene</w:t>
      </w:r>
      <w:r>
        <w:t>rima zakat dapat diketahui secara langsung. Fenomena tersebut menunjukkan bahwa tingkat kepercayaan masyarakat terhadap lembaga pengelola zakat masih perlu ditingkatkan melalui penerapan tata kelola organisasi yang lebih baik. Lembaga zakat tidak hanya dit</w:t>
      </w:r>
      <w:r>
        <w:t>untut mampu menghimpun dana zakat, tetapi juga harus mampu memberikan laporan keuangan yang mudah diakses serta informasi penyaluran dana yang jelas kepada masyarakat.</w:t>
      </w:r>
    </w:p>
    <w:p w:rsidR="00B46D73" w:rsidRDefault="00D4374B">
      <w:pPr>
        <w:spacing w:after="100"/>
        <w:ind w:firstLine="431"/>
        <w:jc w:val="both"/>
      </w:pPr>
      <w:r>
        <w:t>Penelitian mengenai Good Corporate Governance pada lembaga pengelola zakat telah banyak dilakukan oleh peneliti sebelumnya. Penelitian Irmawati dkk. menunjukkan bahwa penerapan GCG berpengaruh positif terhadap efektivitas distribusi zakat produktif pada BA</w:t>
      </w:r>
      <w:r>
        <w:t xml:space="preserve">ZNAS Kabupaten Majene [5]. Penelitian Rahman dan Koesmawan menjelaskan bahwa implementasi PSAK 109 dan GCG mampu meningkatkan profesionalisme lembaga amil zakat [4]. Penelitian Muliansyah dan Hermawan menyatakan bahwa integrasi tata kelola syariah dan GCG </w:t>
      </w:r>
      <w:r>
        <w:t>mampu meningkatkan partisipasi donatur dalam lembaga zakat [6]. Meskipun demikian, penelitian terdahulu sebagian besar menggunakan pendekatan kualitatif sehingga belum mampu menjelaskan hubungan antarvariabel secara statistik dan terukur, dan penelitian me</w:t>
      </w:r>
      <w:r>
        <w:t>ngenai pengaruh GCG terhadap kinerja lembaga pengelola zakat pada tingkat kabupaten, khususnya di Kabupaten Bengkalis, masih sangat terbatas. Penelitian terdahulu juga lebih banyak berfokus pada aspek transparansi atau akuntabilitas saja, sedangkan penelit</w:t>
      </w:r>
      <w:r>
        <w:t>ian ini mengkaji seluruh prinsip GCG secara menyeluruh terhadap kinerja lembaga pengelola zakat.</w:t>
      </w:r>
    </w:p>
    <w:p w:rsidR="00B46D73" w:rsidRDefault="00D4374B">
      <w:pPr>
        <w:spacing w:after="100"/>
        <w:ind w:firstLine="431"/>
        <w:jc w:val="both"/>
      </w:pPr>
      <w:r>
        <w:t>Berdasarkan uraian di atas, penelitian ini bertujuan untuk menganalisis pengaruh penerapan prinsip transparansi, akuntabilitas, pertanggungjawaban, independens</w:t>
      </w:r>
      <w:r>
        <w:t>i, dan kewajaran secara parsial maupun simultan terhadap kinerja lembaga pengelola zakat pada BAZNAS Kabupaten Bengkalis.</w:t>
      </w:r>
    </w:p>
    <w:p w:rsidR="00B46D73" w:rsidRDefault="00D4374B" w:rsidP="00D15F37">
      <w:pPr>
        <w:spacing w:before="200" w:after="100"/>
      </w:pPr>
      <w:r>
        <w:rPr>
          <w:b/>
          <w:bCs/>
          <w:color w:val="000000"/>
        </w:rPr>
        <w:t xml:space="preserve">2. METODE </w:t>
      </w:r>
      <w:r w:rsidR="00D15F37">
        <w:rPr>
          <w:b/>
          <w:bCs/>
          <w:color w:val="000000"/>
        </w:rPr>
        <w:t>PENELITIAN</w:t>
      </w:r>
    </w:p>
    <w:p w:rsidR="00B46D73" w:rsidRDefault="00D4374B">
      <w:pPr>
        <w:spacing w:after="100"/>
        <w:ind w:firstLine="431"/>
        <w:jc w:val="both"/>
      </w:pPr>
      <w:r>
        <w:t xml:space="preserve">Penelitian ini menggunakan pendekatan kuantitatif dengan metode survei, yaitu pengumpulan data secara langsung dari </w:t>
      </w:r>
      <w:r>
        <w:t>objek penelitian menggunakan instrumen kuesioner yang disebarkan kepada responden [7]. Penelitian dilakukan pada Badan Amil Zakat Nasional (BAZNAS) Kabupaten Bengkalis dalam rentang waktu bulan Februari 2026 sampai Juni 2026.</w:t>
      </w:r>
    </w:p>
    <w:p w:rsidR="00B46D73" w:rsidRDefault="00D4374B">
      <w:pPr>
        <w:spacing w:after="100"/>
        <w:ind w:firstLine="431"/>
        <w:jc w:val="both"/>
      </w:pPr>
      <w:r>
        <w:t>Populasi penelitian ini adalah</w:t>
      </w:r>
      <w:r>
        <w:t xml:space="preserve"> seluruh karyawan/amil zakat dan Unit Pengumpul Zakat (UPZ) yang bekerja di BAZNAS Kabupaten Bengkalis. Teknik pengambilan sampel menggunakan teknik sampel jenuh, yaitu seluruh anggota populasi yang berjumlah 30 orang dijadikan sampel penelitian karena jum</w:t>
      </w:r>
      <w:r>
        <w:t>lah populasi relatif kecil.</w:t>
      </w:r>
    </w:p>
    <w:p w:rsidR="00B46D73" w:rsidRDefault="00D4374B">
      <w:pPr>
        <w:spacing w:after="100"/>
        <w:ind w:firstLine="431"/>
        <w:jc w:val="both"/>
      </w:pPr>
      <w:r>
        <w:t xml:space="preserve">Data yang digunakan terdiri atas data primer, yaitu hasil pembagian kuesioner kepada responden, dan data sekunder berupa laporan keuangan lembaga pengelola zakat, dokumentasi, serta jurnal dan artikel terkait yang relevan. </w:t>
      </w:r>
      <w:r>
        <w:lastRenderedPageBreak/>
        <w:t>Instr</w:t>
      </w:r>
      <w:r>
        <w:t>umen kuesioner disusun menggunakan skala Likert lima tingkat untuk mengukur persepsi responden terhadap variabel penelitian, mulai dari “Sangat Tidak Setuju” hingga “Sangat Setuju”.</w:t>
      </w:r>
    </w:p>
    <w:p w:rsidR="00B46D73" w:rsidRDefault="00D4374B">
      <w:pPr>
        <w:spacing w:after="100"/>
        <w:ind w:firstLine="431"/>
        <w:jc w:val="both"/>
      </w:pPr>
      <w:r>
        <w:t>Variabel independen dalam penelitian ini terdiri atas lima prinsip Good Co</w:t>
      </w:r>
      <w:r>
        <w:t>rporate Governance, yaitu transparansi (X1), akuntabilitas (X2), pertanggungjawaban (X3), independensi (X4), dan kewajaran (X5), dengan kinerja lembaga pengelola zakat (Y) sebagai variabel dependen. Sebelum pengujian hipotesis, instrumen penelitian terlebi</w:t>
      </w:r>
      <w:r>
        <w:t>h dahulu diuji validitas dan reliabilitasnya, serta data diuji dengan uji asumsi klasik yang meliputi uji normalitas, uji multikolinearitas, dan uji heteroskedastisitas.</w:t>
      </w:r>
    </w:p>
    <w:p w:rsidR="00B46D73" w:rsidRDefault="00D4374B">
      <w:pPr>
        <w:spacing w:after="100"/>
        <w:ind w:firstLine="431"/>
        <w:jc w:val="both"/>
      </w:pPr>
      <w:r>
        <w:t>Teknik analisis data menggunakan analisis regresi linear berganda dengan bantuan aplik</w:t>
      </w:r>
      <w:r>
        <w:t>asi SPSS versi 25, untuk menguji pengaruh masing-masing variabel independen terhadap variabel dependen. Pengujian hipotesis dilakukan melalui uji t (parsial) untuk menguji pengaruh masing-masing prinsip GCG secara individual, uji F (simultan) untuk menguji</w:t>
      </w:r>
      <w:r>
        <w:t xml:space="preserve"> pengaruh kelima prinsip secara bersama-sama, serta uji koefisien determinasi (Adjusted R Square) untuk mengetahui besarnya kontribusi variabel independen terhadap variabel dependen. Kriteria pengujian menggunakan tingkat signifikansi (α) sebesar 5%; H0 di</w:t>
      </w:r>
      <w:r>
        <w:t>tolak apabila nilai signifikansi &lt; 0,05 atau t hitung/F hitung lebih besar dari t tabel/F tabel.</w:t>
      </w:r>
    </w:p>
    <w:p w:rsidR="00B46D73" w:rsidRDefault="00D4374B">
      <w:pPr>
        <w:spacing w:after="100"/>
        <w:ind w:firstLine="431"/>
        <w:jc w:val="both"/>
      </w:pPr>
      <w:r>
        <w:t>Salah satu keterbatasan penelitian ini adalah jumlah sampel yang relatif kecil (30 responden) karena mengikuti jumlah populasi karyawan/amil zakat dan UPZ di B</w:t>
      </w:r>
      <w:r>
        <w:t>AZNAS Kabupaten Bengkalis, sehingga hasil penelitian ini bersifat spesifik pada konteks lokasi penelitian dan perlu kehati-hatian dalam generalisasi pada lembaga pengelola zakat lain.</w:t>
      </w:r>
    </w:p>
    <w:p w:rsidR="00B46D73" w:rsidRDefault="00D4374B" w:rsidP="00D15F37">
      <w:pPr>
        <w:spacing w:before="200" w:after="100"/>
      </w:pPr>
      <w:r>
        <w:rPr>
          <w:b/>
          <w:bCs/>
          <w:color w:val="000000"/>
        </w:rPr>
        <w:t xml:space="preserve">3. HASIL DAN PEMBAHASAN </w:t>
      </w:r>
    </w:p>
    <w:p w:rsidR="00B46D73" w:rsidRDefault="00D4374B">
      <w:pPr>
        <w:spacing w:after="100"/>
        <w:ind w:firstLine="431"/>
        <w:jc w:val="both"/>
      </w:pPr>
      <w:r>
        <w:t>Berdasarkan hasil pengolahan data primer</w:t>
      </w:r>
      <w:r>
        <w:t xml:space="preserve"> dari 30 responden menggunakan aplikasi SPSS versi 25, diperoleh hasil analisis regresi linear berganda sebagai berikut.</w:t>
      </w:r>
    </w:p>
    <w:p w:rsidR="00B46D73" w:rsidRDefault="00D4374B">
      <w:pPr>
        <w:spacing w:before="150" w:after="80"/>
        <w:jc w:val="center"/>
      </w:pPr>
      <w:r>
        <w:rPr>
          <w:b/>
          <w:bCs/>
        </w:rPr>
        <w:t>Tabel 1. Hasil Analisis Regresi Linear Berganda</w:t>
      </w:r>
    </w:p>
    <w:tbl>
      <w:tblPr>
        <w:tblW w:w="936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60"/>
        <w:gridCol w:w="2000"/>
        <w:gridCol w:w="2000"/>
        <w:gridCol w:w="2000"/>
      </w:tblGrid>
      <w:tr w:rsidR="00B46D73">
        <w:tblPrEx>
          <w:tblCellMar>
            <w:top w:w="0" w:type="dxa"/>
            <w:bottom w:w="0" w:type="dxa"/>
          </w:tblCellMar>
        </w:tblPrEx>
        <w:tc>
          <w:tcPr>
            <w:tcW w:w="3360" w:type="dxa"/>
            <w:tcBorders>
              <w:top w:val="single" w:sz="4" w:space="0" w:color="000000"/>
              <w:left w:val="none" w:sz="0" w:space="0" w:color="FFFFFF"/>
              <w:bottom w:val="single" w:sz="4" w:space="0" w:color="000000"/>
              <w:right w:val="none" w:sz="0" w:space="0" w:color="FFFFFF"/>
            </w:tcBorders>
            <w:shd w:val="clear" w:color="auto" w:fill="D9D9D9"/>
          </w:tcPr>
          <w:p w:rsidR="00B46D73" w:rsidRDefault="00D4374B">
            <w:r>
              <w:rPr>
                <w:b/>
                <w:bCs/>
                <w:sz w:val="18"/>
                <w:szCs w:val="18"/>
              </w:rPr>
              <w:t>Variabel</w:t>
            </w:r>
          </w:p>
        </w:tc>
        <w:tc>
          <w:tcPr>
            <w:tcW w:w="2000" w:type="dxa"/>
            <w:tcBorders>
              <w:top w:val="single" w:sz="4" w:space="0" w:color="000000"/>
              <w:left w:val="none" w:sz="0" w:space="0" w:color="FFFFFF"/>
              <w:bottom w:val="single" w:sz="4" w:space="0" w:color="000000"/>
              <w:right w:val="none" w:sz="0" w:space="0" w:color="FFFFFF"/>
            </w:tcBorders>
            <w:shd w:val="clear" w:color="auto" w:fill="D9D9D9"/>
          </w:tcPr>
          <w:p w:rsidR="00B46D73" w:rsidRDefault="00D4374B">
            <w:pPr>
              <w:jc w:val="center"/>
            </w:pPr>
            <w:r>
              <w:rPr>
                <w:b/>
                <w:bCs/>
                <w:sz w:val="18"/>
                <w:szCs w:val="18"/>
              </w:rPr>
              <w:t>Koefisien (B)</w:t>
            </w:r>
          </w:p>
        </w:tc>
        <w:tc>
          <w:tcPr>
            <w:tcW w:w="2000" w:type="dxa"/>
            <w:tcBorders>
              <w:top w:val="single" w:sz="4" w:space="0" w:color="000000"/>
              <w:left w:val="none" w:sz="0" w:space="0" w:color="FFFFFF"/>
              <w:bottom w:val="single" w:sz="4" w:space="0" w:color="000000"/>
              <w:right w:val="none" w:sz="0" w:space="0" w:color="FFFFFF"/>
            </w:tcBorders>
            <w:shd w:val="clear" w:color="auto" w:fill="D9D9D9"/>
          </w:tcPr>
          <w:p w:rsidR="00B46D73" w:rsidRDefault="00D4374B">
            <w:pPr>
              <w:jc w:val="center"/>
            </w:pPr>
            <w:r>
              <w:rPr>
                <w:b/>
                <w:bCs/>
                <w:sz w:val="18"/>
                <w:szCs w:val="18"/>
              </w:rPr>
              <w:t>t hitung</w:t>
            </w:r>
          </w:p>
        </w:tc>
        <w:tc>
          <w:tcPr>
            <w:tcW w:w="2000" w:type="dxa"/>
            <w:tcBorders>
              <w:top w:val="single" w:sz="4" w:space="0" w:color="000000"/>
              <w:left w:val="none" w:sz="0" w:space="0" w:color="FFFFFF"/>
              <w:bottom w:val="single" w:sz="4" w:space="0" w:color="000000"/>
              <w:right w:val="none" w:sz="0" w:space="0" w:color="FFFFFF"/>
            </w:tcBorders>
            <w:shd w:val="clear" w:color="auto" w:fill="D9D9D9"/>
          </w:tcPr>
          <w:p w:rsidR="00B46D73" w:rsidRDefault="00D4374B">
            <w:pPr>
              <w:jc w:val="center"/>
            </w:pPr>
            <w:r>
              <w:rPr>
                <w:b/>
                <w:bCs/>
                <w:sz w:val="18"/>
                <w:szCs w:val="18"/>
              </w:rPr>
              <w:t>Sig.</w:t>
            </w:r>
          </w:p>
        </w:tc>
      </w:tr>
      <w:tr w:rsidR="00B46D73">
        <w:tblPrEx>
          <w:tblCellMar>
            <w:top w:w="0" w:type="dxa"/>
            <w:bottom w:w="0" w:type="dxa"/>
          </w:tblCellMar>
        </w:tblPrEx>
        <w:tc>
          <w:tcPr>
            <w:tcW w:w="3360" w:type="dxa"/>
            <w:tcBorders>
              <w:top w:val="single" w:sz="4" w:space="0" w:color="000000"/>
              <w:left w:val="none" w:sz="0" w:space="0" w:color="FFFFFF"/>
              <w:bottom w:val="single" w:sz="4" w:space="0" w:color="000000"/>
              <w:right w:val="none" w:sz="0" w:space="0" w:color="FFFFFF"/>
            </w:tcBorders>
          </w:tcPr>
          <w:p w:rsidR="00B46D73" w:rsidRDefault="00D4374B">
            <w:r>
              <w:rPr>
                <w:sz w:val="18"/>
                <w:szCs w:val="18"/>
              </w:rPr>
              <w:t>Konstanta</w:t>
            </w:r>
          </w:p>
        </w:tc>
        <w:tc>
          <w:tcPr>
            <w:tcW w:w="2000" w:type="dxa"/>
            <w:tcBorders>
              <w:top w:val="single" w:sz="4" w:space="0" w:color="000000"/>
              <w:left w:val="none" w:sz="0" w:space="0" w:color="FFFFFF"/>
              <w:bottom w:val="single" w:sz="4" w:space="0" w:color="000000"/>
              <w:right w:val="none" w:sz="0" w:space="0" w:color="FFFFFF"/>
            </w:tcBorders>
          </w:tcPr>
          <w:p w:rsidR="00B46D73" w:rsidRDefault="00D4374B">
            <w:pPr>
              <w:jc w:val="center"/>
            </w:pPr>
            <w:r>
              <w:rPr>
                <w:sz w:val="18"/>
                <w:szCs w:val="18"/>
              </w:rPr>
              <w:t>1,303</w:t>
            </w:r>
          </w:p>
        </w:tc>
        <w:tc>
          <w:tcPr>
            <w:tcW w:w="2000" w:type="dxa"/>
            <w:tcBorders>
              <w:top w:val="single" w:sz="4" w:space="0" w:color="000000"/>
              <w:left w:val="none" w:sz="0" w:space="0" w:color="FFFFFF"/>
              <w:bottom w:val="single" w:sz="4" w:space="0" w:color="000000"/>
              <w:right w:val="none" w:sz="0" w:space="0" w:color="FFFFFF"/>
            </w:tcBorders>
          </w:tcPr>
          <w:p w:rsidR="00B46D73" w:rsidRDefault="00D4374B">
            <w:pPr>
              <w:jc w:val="center"/>
            </w:pPr>
            <w:r>
              <w:rPr>
                <w:sz w:val="18"/>
                <w:szCs w:val="18"/>
              </w:rPr>
              <w:t>0,384</w:t>
            </w:r>
          </w:p>
        </w:tc>
        <w:tc>
          <w:tcPr>
            <w:tcW w:w="2000" w:type="dxa"/>
            <w:tcBorders>
              <w:top w:val="single" w:sz="4" w:space="0" w:color="000000"/>
              <w:left w:val="none" w:sz="0" w:space="0" w:color="FFFFFF"/>
              <w:bottom w:val="single" w:sz="4" w:space="0" w:color="000000"/>
              <w:right w:val="none" w:sz="0" w:space="0" w:color="FFFFFF"/>
            </w:tcBorders>
          </w:tcPr>
          <w:p w:rsidR="00B46D73" w:rsidRDefault="00D4374B">
            <w:pPr>
              <w:jc w:val="center"/>
            </w:pPr>
            <w:r>
              <w:rPr>
                <w:sz w:val="18"/>
                <w:szCs w:val="18"/>
              </w:rPr>
              <w:t>0,705</w:t>
            </w:r>
          </w:p>
        </w:tc>
      </w:tr>
      <w:tr w:rsidR="00B46D73">
        <w:tblPrEx>
          <w:tblCellMar>
            <w:top w:w="0" w:type="dxa"/>
            <w:bottom w:w="0" w:type="dxa"/>
          </w:tblCellMar>
        </w:tblPrEx>
        <w:tc>
          <w:tcPr>
            <w:tcW w:w="3360" w:type="dxa"/>
            <w:tcBorders>
              <w:top w:val="single" w:sz="4" w:space="0" w:color="000000"/>
              <w:left w:val="none" w:sz="0" w:space="0" w:color="FFFFFF"/>
              <w:bottom w:val="single" w:sz="4" w:space="0" w:color="000000"/>
              <w:right w:val="none" w:sz="0" w:space="0" w:color="FFFFFF"/>
            </w:tcBorders>
          </w:tcPr>
          <w:p w:rsidR="00B46D73" w:rsidRDefault="00D4374B">
            <w:r>
              <w:rPr>
                <w:sz w:val="18"/>
                <w:szCs w:val="18"/>
              </w:rPr>
              <w:t>Transparansi (X1)</w:t>
            </w:r>
          </w:p>
        </w:tc>
        <w:tc>
          <w:tcPr>
            <w:tcW w:w="2000" w:type="dxa"/>
            <w:tcBorders>
              <w:top w:val="single" w:sz="4" w:space="0" w:color="000000"/>
              <w:left w:val="none" w:sz="0" w:space="0" w:color="FFFFFF"/>
              <w:bottom w:val="single" w:sz="4" w:space="0" w:color="000000"/>
              <w:right w:val="none" w:sz="0" w:space="0" w:color="FFFFFF"/>
            </w:tcBorders>
          </w:tcPr>
          <w:p w:rsidR="00B46D73" w:rsidRDefault="00D4374B">
            <w:pPr>
              <w:jc w:val="center"/>
            </w:pPr>
            <w:r>
              <w:rPr>
                <w:sz w:val="18"/>
                <w:szCs w:val="18"/>
              </w:rPr>
              <w:t>0,042</w:t>
            </w:r>
          </w:p>
        </w:tc>
        <w:tc>
          <w:tcPr>
            <w:tcW w:w="2000" w:type="dxa"/>
            <w:tcBorders>
              <w:top w:val="single" w:sz="4" w:space="0" w:color="000000"/>
              <w:left w:val="none" w:sz="0" w:space="0" w:color="FFFFFF"/>
              <w:bottom w:val="single" w:sz="4" w:space="0" w:color="000000"/>
              <w:right w:val="none" w:sz="0" w:space="0" w:color="FFFFFF"/>
            </w:tcBorders>
          </w:tcPr>
          <w:p w:rsidR="00B46D73" w:rsidRDefault="00D4374B">
            <w:pPr>
              <w:jc w:val="center"/>
            </w:pPr>
            <w:r>
              <w:rPr>
                <w:sz w:val="18"/>
                <w:szCs w:val="18"/>
              </w:rPr>
              <w:t>0,108</w:t>
            </w:r>
          </w:p>
        </w:tc>
        <w:tc>
          <w:tcPr>
            <w:tcW w:w="2000" w:type="dxa"/>
            <w:tcBorders>
              <w:top w:val="single" w:sz="4" w:space="0" w:color="000000"/>
              <w:left w:val="none" w:sz="0" w:space="0" w:color="FFFFFF"/>
              <w:bottom w:val="single" w:sz="4" w:space="0" w:color="000000"/>
              <w:right w:val="none" w:sz="0" w:space="0" w:color="FFFFFF"/>
            </w:tcBorders>
          </w:tcPr>
          <w:p w:rsidR="00B46D73" w:rsidRDefault="00D4374B">
            <w:pPr>
              <w:jc w:val="center"/>
            </w:pPr>
            <w:r>
              <w:rPr>
                <w:sz w:val="18"/>
                <w:szCs w:val="18"/>
              </w:rPr>
              <w:t>0,915</w:t>
            </w:r>
          </w:p>
        </w:tc>
      </w:tr>
      <w:tr w:rsidR="00B46D73">
        <w:tblPrEx>
          <w:tblCellMar>
            <w:top w:w="0" w:type="dxa"/>
            <w:bottom w:w="0" w:type="dxa"/>
          </w:tblCellMar>
        </w:tblPrEx>
        <w:tc>
          <w:tcPr>
            <w:tcW w:w="3360" w:type="dxa"/>
            <w:tcBorders>
              <w:top w:val="single" w:sz="4" w:space="0" w:color="000000"/>
              <w:left w:val="none" w:sz="0" w:space="0" w:color="FFFFFF"/>
              <w:bottom w:val="single" w:sz="4" w:space="0" w:color="000000"/>
              <w:right w:val="none" w:sz="0" w:space="0" w:color="FFFFFF"/>
            </w:tcBorders>
          </w:tcPr>
          <w:p w:rsidR="00B46D73" w:rsidRDefault="00D4374B">
            <w:r>
              <w:rPr>
                <w:sz w:val="18"/>
                <w:szCs w:val="18"/>
              </w:rPr>
              <w:t>Akuntabilitas (X2)</w:t>
            </w:r>
          </w:p>
        </w:tc>
        <w:tc>
          <w:tcPr>
            <w:tcW w:w="2000" w:type="dxa"/>
            <w:tcBorders>
              <w:top w:val="single" w:sz="4" w:space="0" w:color="000000"/>
              <w:left w:val="none" w:sz="0" w:space="0" w:color="FFFFFF"/>
              <w:bottom w:val="single" w:sz="4" w:space="0" w:color="000000"/>
              <w:right w:val="none" w:sz="0" w:space="0" w:color="FFFFFF"/>
            </w:tcBorders>
          </w:tcPr>
          <w:p w:rsidR="00B46D73" w:rsidRDefault="00D4374B">
            <w:pPr>
              <w:jc w:val="center"/>
            </w:pPr>
            <w:r>
              <w:rPr>
                <w:sz w:val="18"/>
                <w:szCs w:val="18"/>
              </w:rPr>
              <w:t>0,828</w:t>
            </w:r>
          </w:p>
        </w:tc>
        <w:tc>
          <w:tcPr>
            <w:tcW w:w="2000" w:type="dxa"/>
            <w:tcBorders>
              <w:top w:val="single" w:sz="4" w:space="0" w:color="000000"/>
              <w:left w:val="none" w:sz="0" w:space="0" w:color="FFFFFF"/>
              <w:bottom w:val="single" w:sz="4" w:space="0" w:color="000000"/>
              <w:right w:val="none" w:sz="0" w:space="0" w:color="FFFFFF"/>
            </w:tcBorders>
          </w:tcPr>
          <w:p w:rsidR="00B46D73" w:rsidRDefault="00D4374B">
            <w:pPr>
              <w:jc w:val="center"/>
            </w:pPr>
            <w:r>
              <w:rPr>
                <w:sz w:val="18"/>
                <w:szCs w:val="18"/>
              </w:rPr>
              <w:t>2,116</w:t>
            </w:r>
          </w:p>
        </w:tc>
        <w:tc>
          <w:tcPr>
            <w:tcW w:w="2000" w:type="dxa"/>
            <w:tcBorders>
              <w:top w:val="single" w:sz="4" w:space="0" w:color="000000"/>
              <w:left w:val="none" w:sz="0" w:space="0" w:color="FFFFFF"/>
              <w:bottom w:val="single" w:sz="4" w:space="0" w:color="000000"/>
              <w:right w:val="none" w:sz="0" w:space="0" w:color="FFFFFF"/>
            </w:tcBorders>
          </w:tcPr>
          <w:p w:rsidR="00B46D73" w:rsidRDefault="00D4374B">
            <w:pPr>
              <w:jc w:val="center"/>
            </w:pPr>
            <w:r>
              <w:rPr>
                <w:sz w:val="18"/>
                <w:szCs w:val="18"/>
              </w:rPr>
              <w:t>0,045</w:t>
            </w:r>
          </w:p>
        </w:tc>
      </w:tr>
      <w:tr w:rsidR="00B46D73">
        <w:tblPrEx>
          <w:tblCellMar>
            <w:top w:w="0" w:type="dxa"/>
            <w:bottom w:w="0" w:type="dxa"/>
          </w:tblCellMar>
        </w:tblPrEx>
        <w:tc>
          <w:tcPr>
            <w:tcW w:w="3360" w:type="dxa"/>
            <w:tcBorders>
              <w:top w:val="single" w:sz="4" w:space="0" w:color="000000"/>
              <w:left w:val="none" w:sz="0" w:space="0" w:color="FFFFFF"/>
              <w:bottom w:val="single" w:sz="4" w:space="0" w:color="000000"/>
              <w:right w:val="none" w:sz="0" w:space="0" w:color="FFFFFF"/>
            </w:tcBorders>
          </w:tcPr>
          <w:p w:rsidR="00B46D73" w:rsidRDefault="00D4374B">
            <w:r>
              <w:rPr>
                <w:sz w:val="18"/>
                <w:szCs w:val="18"/>
              </w:rPr>
              <w:t>Pertanggungjawaban (X3)</w:t>
            </w:r>
          </w:p>
        </w:tc>
        <w:tc>
          <w:tcPr>
            <w:tcW w:w="2000" w:type="dxa"/>
            <w:tcBorders>
              <w:top w:val="single" w:sz="4" w:space="0" w:color="000000"/>
              <w:left w:val="none" w:sz="0" w:space="0" w:color="FFFFFF"/>
              <w:bottom w:val="single" w:sz="4" w:space="0" w:color="000000"/>
              <w:right w:val="none" w:sz="0" w:space="0" w:color="FFFFFF"/>
            </w:tcBorders>
          </w:tcPr>
          <w:p w:rsidR="00B46D73" w:rsidRDefault="00D4374B">
            <w:pPr>
              <w:jc w:val="center"/>
            </w:pPr>
            <w:r>
              <w:rPr>
                <w:sz w:val="18"/>
                <w:szCs w:val="18"/>
              </w:rPr>
              <w:t>0,973</w:t>
            </w:r>
          </w:p>
        </w:tc>
        <w:tc>
          <w:tcPr>
            <w:tcW w:w="2000" w:type="dxa"/>
            <w:tcBorders>
              <w:top w:val="single" w:sz="4" w:space="0" w:color="000000"/>
              <w:left w:val="none" w:sz="0" w:space="0" w:color="FFFFFF"/>
              <w:bottom w:val="single" w:sz="4" w:space="0" w:color="000000"/>
              <w:right w:val="none" w:sz="0" w:space="0" w:color="FFFFFF"/>
            </w:tcBorders>
          </w:tcPr>
          <w:p w:rsidR="00B46D73" w:rsidRDefault="00D4374B">
            <w:pPr>
              <w:jc w:val="center"/>
            </w:pPr>
            <w:r>
              <w:rPr>
                <w:sz w:val="18"/>
                <w:szCs w:val="18"/>
              </w:rPr>
              <w:t>2,799</w:t>
            </w:r>
          </w:p>
        </w:tc>
        <w:tc>
          <w:tcPr>
            <w:tcW w:w="2000" w:type="dxa"/>
            <w:tcBorders>
              <w:top w:val="single" w:sz="4" w:space="0" w:color="000000"/>
              <w:left w:val="none" w:sz="0" w:space="0" w:color="FFFFFF"/>
              <w:bottom w:val="single" w:sz="4" w:space="0" w:color="000000"/>
              <w:right w:val="none" w:sz="0" w:space="0" w:color="FFFFFF"/>
            </w:tcBorders>
          </w:tcPr>
          <w:p w:rsidR="00B46D73" w:rsidRDefault="00D4374B">
            <w:pPr>
              <w:jc w:val="center"/>
            </w:pPr>
            <w:r>
              <w:rPr>
                <w:sz w:val="18"/>
                <w:szCs w:val="18"/>
              </w:rPr>
              <w:t>0,010</w:t>
            </w:r>
          </w:p>
        </w:tc>
      </w:tr>
      <w:tr w:rsidR="00B46D73">
        <w:tblPrEx>
          <w:tblCellMar>
            <w:top w:w="0" w:type="dxa"/>
            <w:bottom w:w="0" w:type="dxa"/>
          </w:tblCellMar>
        </w:tblPrEx>
        <w:tc>
          <w:tcPr>
            <w:tcW w:w="3360" w:type="dxa"/>
            <w:tcBorders>
              <w:top w:val="single" w:sz="4" w:space="0" w:color="000000"/>
              <w:left w:val="none" w:sz="0" w:space="0" w:color="FFFFFF"/>
              <w:bottom w:val="single" w:sz="4" w:space="0" w:color="000000"/>
              <w:right w:val="none" w:sz="0" w:space="0" w:color="FFFFFF"/>
            </w:tcBorders>
          </w:tcPr>
          <w:p w:rsidR="00B46D73" w:rsidRDefault="00D4374B">
            <w:r>
              <w:rPr>
                <w:sz w:val="18"/>
                <w:szCs w:val="18"/>
              </w:rPr>
              <w:t>Independensi (X4)</w:t>
            </w:r>
          </w:p>
        </w:tc>
        <w:tc>
          <w:tcPr>
            <w:tcW w:w="2000" w:type="dxa"/>
            <w:tcBorders>
              <w:top w:val="single" w:sz="4" w:space="0" w:color="000000"/>
              <w:left w:val="none" w:sz="0" w:space="0" w:color="FFFFFF"/>
              <w:bottom w:val="single" w:sz="4" w:space="0" w:color="000000"/>
              <w:right w:val="none" w:sz="0" w:space="0" w:color="FFFFFF"/>
            </w:tcBorders>
          </w:tcPr>
          <w:p w:rsidR="00B46D73" w:rsidRDefault="00D4374B">
            <w:pPr>
              <w:jc w:val="center"/>
            </w:pPr>
            <w:r>
              <w:rPr>
                <w:sz w:val="18"/>
                <w:szCs w:val="18"/>
              </w:rPr>
              <w:t>0,356</w:t>
            </w:r>
          </w:p>
        </w:tc>
        <w:tc>
          <w:tcPr>
            <w:tcW w:w="2000" w:type="dxa"/>
            <w:tcBorders>
              <w:top w:val="single" w:sz="4" w:space="0" w:color="000000"/>
              <w:left w:val="none" w:sz="0" w:space="0" w:color="FFFFFF"/>
              <w:bottom w:val="single" w:sz="4" w:space="0" w:color="000000"/>
              <w:right w:val="none" w:sz="0" w:space="0" w:color="FFFFFF"/>
            </w:tcBorders>
          </w:tcPr>
          <w:p w:rsidR="00B46D73" w:rsidRDefault="00D4374B">
            <w:pPr>
              <w:jc w:val="center"/>
            </w:pPr>
            <w:r>
              <w:rPr>
                <w:sz w:val="18"/>
                <w:szCs w:val="18"/>
              </w:rPr>
              <w:t>0,706</w:t>
            </w:r>
          </w:p>
        </w:tc>
        <w:tc>
          <w:tcPr>
            <w:tcW w:w="2000" w:type="dxa"/>
            <w:tcBorders>
              <w:top w:val="single" w:sz="4" w:space="0" w:color="000000"/>
              <w:left w:val="none" w:sz="0" w:space="0" w:color="FFFFFF"/>
              <w:bottom w:val="single" w:sz="4" w:space="0" w:color="000000"/>
              <w:right w:val="none" w:sz="0" w:space="0" w:color="FFFFFF"/>
            </w:tcBorders>
          </w:tcPr>
          <w:p w:rsidR="00B46D73" w:rsidRDefault="00D4374B">
            <w:pPr>
              <w:jc w:val="center"/>
            </w:pPr>
            <w:r>
              <w:rPr>
                <w:sz w:val="18"/>
                <w:szCs w:val="18"/>
              </w:rPr>
              <w:t>0,487</w:t>
            </w:r>
          </w:p>
        </w:tc>
      </w:tr>
      <w:tr w:rsidR="00B46D73">
        <w:tblPrEx>
          <w:tblCellMar>
            <w:top w:w="0" w:type="dxa"/>
            <w:bottom w:w="0" w:type="dxa"/>
          </w:tblCellMar>
        </w:tblPrEx>
        <w:tc>
          <w:tcPr>
            <w:tcW w:w="3360" w:type="dxa"/>
            <w:tcBorders>
              <w:top w:val="single" w:sz="4" w:space="0" w:color="000000"/>
              <w:left w:val="none" w:sz="0" w:space="0" w:color="FFFFFF"/>
              <w:bottom w:val="single" w:sz="4" w:space="0" w:color="000000"/>
              <w:right w:val="none" w:sz="0" w:space="0" w:color="FFFFFF"/>
            </w:tcBorders>
          </w:tcPr>
          <w:p w:rsidR="00B46D73" w:rsidRDefault="00D4374B">
            <w:r>
              <w:rPr>
                <w:sz w:val="18"/>
                <w:szCs w:val="18"/>
              </w:rPr>
              <w:t>Kewajaran (X5)</w:t>
            </w:r>
          </w:p>
        </w:tc>
        <w:tc>
          <w:tcPr>
            <w:tcW w:w="2000" w:type="dxa"/>
            <w:tcBorders>
              <w:top w:val="single" w:sz="4" w:space="0" w:color="000000"/>
              <w:left w:val="none" w:sz="0" w:space="0" w:color="FFFFFF"/>
              <w:bottom w:val="single" w:sz="4" w:space="0" w:color="000000"/>
              <w:right w:val="none" w:sz="0" w:space="0" w:color="FFFFFF"/>
            </w:tcBorders>
          </w:tcPr>
          <w:p w:rsidR="00B46D73" w:rsidRDefault="00D4374B">
            <w:pPr>
              <w:jc w:val="center"/>
            </w:pPr>
            <w:r>
              <w:rPr>
                <w:sz w:val="18"/>
                <w:szCs w:val="18"/>
              </w:rPr>
              <w:t>-0,268</w:t>
            </w:r>
          </w:p>
        </w:tc>
        <w:tc>
          <w:tcPr>
            <w:tcW w:w="2000" w:type="dxa"/>
            <w:tcBorders>
              <w:top w:val="single" w:sz="4" w:space="0" w:color="000000"/>
              <w:left w:val="none" w:sz="0" w:space="0" w:color="FFFFFF"/>
              <w:bottom w:val="single" w:sz="4" w:space="0" w:color="000000"/>
              <w:right w:val="none" w:sz="0" w:space="0" w:color="FFFFFF"/>
            </w:tcBorders>
          </w:tcPr>
          <w:p w:rsidR="00B46D73" w:rsidRDefault="00D4374B">
            <w:pPr>
              <w:jc w:val="center"/>
            </w:pPr>
            <w:r>
              <w:rPr>
                <w:sz w:val="18"/>
                <w:szCs w:val="18"/>
              </w:rPr>
              <w:t>-0,675</w:t>
            </w:r>
          </w:p>
        </w:tc>
        <w:tc>
          <w:tcPr>
            <w:tcW w:w="2000" w:type="dxa"/>
            <w:tcBorders>
              <w:top w:val="single" w:sz="4" w:space="0" w:color="000000"/>
              <w:left w:val="none" w:sz="0" w:space="0" w:color="FFFFFF"/>
              <w:bottom w:val="single" w:sz="4" w:space="0" w:color="000000"/>
              <w:right w:val="none" w:sz="0" w:space="0" w:color="FFFFFF"/>
            </w:tcBorders>
          </w:tcPr>
          <w:p w:rsidR="00B46D73" w:rsidRDefault="00D4374B">
            <w:pPr>
              <w:jc w:val="center"/>
            </w:pPr>
            <w:r>
              <w:rPr>
                <w:sz w:val="18"/>
                <w:szCs w:val="18"/>
              </w:rPr>
              <w:t>0,506</w:t>
            </w:r>
          </w:p>
        </w:tc>
      </w:tr>
    </w:tbl>
    <w:p w:rsidR="00B46D73" w:rsidRDefault="00D4374B">
      <w:pPr>
        <w:spacing w:after="150"/>
      </w:pPr>
      <w:r>
        <w:rPr>
          <w:i/>
          <w:iCs/>
        </w:rPr>
        <w:t>Sumber: Data diolah SPSS (2026)</w:t>
      </w:r>
    </w:p>
    <w:p w:rsidR="00B46D73" w:rsidRDefault="00D4374B">
      <w:pPr>
        <w:spacing w:after="100"/>
        <w:ind w:firstLine="431"/>
        <w:jc w:val="both"/>
      </w:pPr>
      <w:r>
        <w:t>Berdasarkan tabel di atas, diperoleh persamaan regresi linear berganda sebagai berikut:</w:t>
      </w:r>
    </w:p>
    <w:p w:rsidR="00B46D73" w:rsidRDefault="00D4374B">
      <w:pPr>
        <w:spacing w:before="100" w:after="150"/>
        <w:jc w:val="center"/>
      </w:pPr>
      <w:r>
        <w:rPr>
          <w:b/>
          <w:bCs/>
        </w:rPr>
        <w:t>Y = 1,303 + 0,042X1 + 0,828X2 + 0,973X3 + 0,356X4 – 0,268X5</w:t>
      </w:r>
    </w:p>
    <w:p w:rsidR="00B46D73" w:rsidRDefault="00D4374B">
      <w:pPr>
        <w:spacing w:after="100"/>
        <w:ind w:firstLine="431"/>
        <w:jc w:val="both"/>
      </w:pPr>
      <w:r>
        <w:t>Nilai konstanta sebesar 1,303 menunjukkan bahwa kinerja lembaga pengelola zakat akan bernilai 1,303 apabila seluruh variabel independen bernilai nol. Koefisien regresi seluruh variabel bernilai positif, kecuali kewajaran yang bernilai negatif, dengan koefi</w:t>
      </w:r>
      <w:r>
        <w:t>sien pertanggungjawaban (0,973) dan akuntabilitas (0,828) menunjukkan kontribusi terbesar terhadap peningkatan kinerja lembaga pengelola zakat.</w:t>
      </w:r>
    </w:p>
    <w:p w:rsidR="00B46D73" w:rsidRDefault="00D4374B">
      <w:pPr>
        <w:spacing w:before="150" w:after="80"/>
        <w:jc w:val="center"/>
      </w:pPr>
      <w:r>
        <w:rPr>
          <w:b/>
          <w:bCs/>
        </w:rPr>
        <w:t>Tabel 2. Hasil Uji Simultan (Uji F)</w:t>
      </w:r>
    </w:p>
    <w:tbl>
      <w:tblPr>
        <w:tblW w:w="936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60"/>
        <w:gridCol w:w="1800"/>
        <w:gridCol w:w="1200"/>
        <w:gridCol w:w="1800"/>
        <w:gridCol w:w="1200"/>
        <w:gridCol w:w="1200"/>
      </w:tblGrid>
      <w:tr w:rsidR="00B46D73">
        <w:tblPrEx>
          <w:tblCellMar>
            <w:top w:w="0" w:type="dxa"/>
            <w:bottom w:w="0" w:type="dxa"/>
          </w:tblCellMar>
        </w:tblPrEx>
        <w:tc>
          <w:tcPr>
            <w:tcW w:w="2160" w:type="dxa"/>
            <w:tcBorders>
              <w:top w:val="single" w:sz="4" w:space="0" w:color="000000"/>
              <w:left w:val="none" w:sz="0" w:space="0" w:color="FFFFFF"/>
              <w:bottom w:val="single" w:sz="4" w:space="0" w:color="000000"/>
              <w:right w:val="none" w:sz="0" w:space="0" w:color="FFFFFF"/>
            </w:tcBorders>
            <w:shd w:val="clear" w:color="auto" w:fill="D9D9D9"/>
          </w:tcPr>
          <w:p w:rsidR="00B46D73" w:rsidRDefault="00D4374B">
            <w:r>
              <w:rPr>
                <w:b/>
                <w:bCs/>
                <w:sz w:val="18"/>
                <w:szCs w:val="18"/>
              </w:rPr>
              <w:t>Model</w:t>
            </w:r>
          </w:p>
        </w:tc>
        <w:tc>
          <w:tcPr>
            <w:tcW w:w="1800" w:type="dxa"/>
            <w:tcBorders>
              <w:top w:val="single" w:sz="4" w:space="0" w:color="000000"/>
              <w:left w:val="none" w:sz="0" w:space="0" w:color="FFFFFF"/>
              <w:bottom w:val="single" w:sz="4" w:space="0" w:color="000000"/>
              <w:right w:val="none" w:sz="0" w:space="0" w:color="FFFFFF"/>
            </w:tcBorders>
            <w:shd w:val="clear" w:color="auto" w:fill="D9D9D9"/>
          </w:tcPr>
          <w:p w:rsidR="00B46D73" w:rsidRDefault="00D4374B">
            <w:pPr>
              <w:jc w:val="center"/>
            </w:pPr>
            <w:r>
              <w:rPr>
                <w:b/>
                <w:bCs/>
                <w:sz w:val="18"/>
                <w:szCs w:val="18"/>
              </w:rPr>
              <w:t>Sum of Squares</w:t>
            </w:r>
          </w:p>
        </w:tc>
        <w:tc>
          <w:tcPr>
            <w:tcW w:w="1200" w:type="dxa"/>
            <w:tcBorders>
              <w:top w:val="single" w:sz="4" w:space="0" w:color="000000"/>
              <w:left w:val="none" w:sz="0" w:space="0" w:color="FFFFFF"/>
              <w:bottom w:val="single" w:sz="4" w:space="0" w:color="000000"/>
              <w:right w:val="none" w:sz="0" w:space="0" w:color="FFFFFF"/>
            </w:tcBorders>
            <w:shd w:val="clear" w:color="auto" w:fill="D9D9D9"/>
          </w:tcPr>
          <w:p w:rsidR="00B46D73" w:rsidRDefault="00D4374B">
            <w:pPr>
              <w:jc w:val="center"/>
            </w:pPr>
            <w:r>
              <w:rPr>
                <w:b/>
                <w:bCs/>
                <w:sz w:val="18"/>
                <w:szCs w:val="18"/>
              </w:rPr>
              <w:t>df</w:t>
            </w:r>
          </w:p>
        </w:tc>
        <w:tc>
          <w:tcPr>
            <w:tcW w:w="1800" w:type="dxa"/>
            <w:tcBorders>
              <w:top w:val="single" w:sz="4" w:space="0" w:color="000000"/>
              <w:left w:val="none" w:sz="0" w:space="0" w:color="FFFFFF"/>
              <w:bottom w:val="single" w:sz="4" w:space="0" w:color="000000"/>
              <w:right w:val="none" w:sz="0" w:space="0" w:color="FFFFFF"/>
            </w:tcBorders>
            <w:shd w:val="clear" w:color="auto" w:fill="D9D9D9"/>
          </w:tcPr>
          <w:p w:rsidR="00B46D73" w:rsidRDefault="00D4374B">
            <w:pPr>
              <w:jc w:val="center"/>
            </w:pPr>
            <w:r>
              <w:rPr>
                <w:b/>
                <w:bCs/>
                <w:sz w:val="18"/>
                <w:szCs w:val="18"/>
              </w:rPr>
              <w:t>Mean Square</w:t>
            </w:r>
          </w:p>
        </w:tc>
        <w:tc>
          <w:tcPr>
            <w:tcW w:w="1200" w:type="dxa"/>
            <w:tcBorders>
              <w:top w:val="single" w:sz="4" w:space="0" w:color="000000"/>
              <w:left w:val="none" w:sz="0" w:space="0" w:color="FFFFFF"/>
              <w:bottom w:val="single" w:sz="4" w:space="0" w:color="000000"/>
              <w:right w:val="none" w:sz="0" w:space="0" w:color="FFFFFF"/>
            </w:tcBorders>
            <w:shd w:val="clear" w:color="auto" w:fill="D9D9D9"/>
          </w:tcPr>
          <w:p w:rsidR="00B46D73" w:rsidRDefault="00D4374B">
            <w:pPr>
              <w:jc w:val="center"/>
            </w:pPr>
            <w:r>
              <w:rPr>
                <w:b/>
                <w:bCs/>
                <w:sz w:val="18"/>
                <w:szCs w:val="18"/>
              </w:rPr>
              <w:t>F</w:t>
            </w:r>
          </w:p>
        </w:tc>
        <w:tc>
          <w:tcPr>
            <w:tcW w:w="1200" w:type="dxa"/>
            <w:tcBorders>
              <w:top w:val="single" w:sz="4" w:space="0" w:color="000000"/>
              <w:left w:val="none" w:sz="0" w:space="0" w:color="FFFFFF"/>
              <w:bottom w:val="single" w:sz="4" w:space="0" w:color="000000"/>
              <w:right w:val="none" w:sz="0" w:space="0" w:color="FFFFFF"/>
            </w:tcBorders>
            <w:shd w:val="clear" w:color="auto" w:fill="D9D9D9"/>
          </w:tcPr>
          <w:p w:rsidR="00B46D73" w:rsidRDefault="00D4374B">
            <w:pPr>
              <w:jc w:val="center"/>
            </w:pPr>
            <w:r>
              <w:rPr>
                <w:b/>
                <w:bCs/>
                <w:sz w:val="18"/>
                <w:szCs w:val="18"/>
              </w:rPr>
              <w:t>Sig.</w:t>
            </w:r>
          </w:p>
        </w:tc>
      </w:tr>
      <w:tr w:rsidR="00B46D73">
        <w:tblPrEx>
          <w:tblCellMar>
            <w:top w:w="0" w:type="dxa"/>
            <w:bottom w:w="0" w:type="dxa"/>
          </w:tblCellMar>
        </w:tblPrEx>
        <w:tc>
          <w:tcPr>
            <w:tcW w:w="2160" w:type="dxa"/>
            <w:tcBorders>
              <w:top w:val="single" w:sz="4" w:space="0" w:color="000000"/>
              <w:left w:val="none" w:sz="0" w:space="0" w:color="FFFFFF"/>
              <w:bottom w:val="single" w:sz="4" w:space="0" w:color="000000"/>
              <w:right w:val="none" w:sz="0" w:space="0" w:color="FFFFFF"/>
            </w:tcBorders>
          </w:tcPr>
          <w:p w:rsidR="00B46D73" w:rsidRDefault="00D4374B">
            <w:r>
              <w:rPr>
                <w:sz w:val="18"/>
                <w:szCs w:val="18"/>
              </w:rPr>
              <w:t>Regression</w:t>
            </w:r>
          </w:p>
        </w:tc>
        <w:tc>
          <w:tcPr>
            <w:tcW w:w="1800" w:type="dxa"/>
            <w:tcBorders>
              <w:top w:val="single" w:sz="4" w:space="0" w:color="000000"/>
              <w:left w:val="none" w:sz="0" w:space="0" w:color="FFFFFF"/>
              <w:bottom w:val="single" w:sz="4" w:space="0" w:color="000000"/>
              <w:right w:val="none" w:sz="0" w:space="0" w:color="FFFFFF"/>
            </w:tcBorders>
          </w:tcPr>
          <w:p w:rsidR="00B46D73" w:rsidRDefault="00D4374B">
            <w:pPr>
              <w:jc w:val="center"/>
            </w:pPr>
            <w:r>
              <w:rPr>
                <w:sz w:val="18"/>
                <w:szCs w:val="18"/>
              </w:rPr>
              <w:t>570,280</w:t>
            </w:r>
          </w:p>
        </w:tc>
        <w:tc>
          <w:tcPr>
            <w:tcW w:w="1200" w:type="dxa"/>
            <w:tcBorders>
              <w:top w:val="single" w:sz="4" w:space="0" w:color="000000"/>
              <w:left w:val="none" w:sz="0" w:space="0" w:color="FFFFFF"/>
              <w:bottom w:val="single" w:sz="4" w:space="0" w:color="000000"/>
              <w:right w:val="none" w:sz="0" w:space="0" w:color="FFFFFF"/>
            </w:tcBorders>
          </w:tcPr>
          <w:p w:rsidR="00B46D73" w:rsidRDefault="00D4374B">
            <w:pPr>
              <w:jc w:val="center"/>
            </w:pPr>
            <w:r>
              <w:rPr>
                <w:sz w:val="18"/>
                <w:szCs w:val="18"/>
              </w:rPr>
              <w:t>5</w:t>
            </w:r>
          </w:p>
        </w:tc>
        <w:tc>
          <w:tcPr>
            <w:tcW w:w="1800" w:type="dxa"/>
            <w:tcBorders>
              <w:top w:val="single" w:sz="4" w:space="0" w:color="000000"/>
              <w:left w:val="none" w:sz="0" w:space="0" w:color="FFFFFF"/>
              <w:bottom w:val="single" w:sz="4" w:space="0" w:color="000000"/>
              <w:right w:val="none" w:sz="0" w:space="0" w:color="FFFFFF"/>
            </w:tcBorders>
          </w:tcPr>
          <w:p w:rsidR="00B46D73" w:rsidRDefault="00D4374B">
            <w:pPr>
              <w:jc w:val="center"/>
            </w:pPr>
            <w:r>
              <w:rPr>
                <w:sz w:val="18"/>
                <w:szCs w:val="18"/>
              </w:rPr>
              <w:t>114,056</w:t>
            </w:r>
          </w:p>
        </w:tc>
        <w:tc>
          <w:tcPr>
            <w:tcW w:w="1200" w:type="dxa"/>
            <w:tcBorders>
              <w:top w:val="single" w:sz="4" w:space="0" w:color="000000"/>
              <w:left w:val="none" w:sz="0" w:space="0" w:color="FFFFFF"/>
              <w:bottom w:val="single" w:sz="4" w:space="0" w:color="000000"/>
              <w:right w:val="none" w:sz="0" w:space="0" w:color="FFFFFF"/>
            </w:tcBorders>
          </w:tcPr>
          <w:p w:rsidR="00B46D73" w:rsidRDefault="00D4374B">
            <w:pPr>
              <w:jc w:val="center"/>
            </w:pPr>
            <w:r>
              <w:rPr>
                <w:sz w:val="18"/>
                <w:szCs w:val="18"/>
              </w:rPr>
              <w:t>18,919</w:t>
            </w:r>
          </w:p>
        </w:tc>
        <w:tc>
          <w:tcPr>
            <w:tcW w:w="1200" w:type="dxa"/>
            <w:tcBorders>
              <w:top w:val="single" w:sz="4" w:space="0" w:color="000000"/>
              <w:left w:val="none" w:sz="0" w:space="0" w:color="FFFFFF"/>
              <w:bottom w:val="single" w:sz="4" w:space="0" w:color="000000"/>
              <w:right w:val="none" w:sz="0" w:space="0" w:color="FFFFFF"/>
            </w:tcBorders>
          </w:tcPr>
          <w:p w:rsidR="00B46D73" w:rsidRDefault="00D4374B">
            <w:pPr>
              <w:jc w:val="center"/>
            </w:pPr>
            <w:r>
              <w:rPr>
                <w:sz w:val="18"/>
                <w:szCs w:val="18"/>
              </w:rPr>
              <w:t>0,000</w:t>
            </w:r>
          </w:p>
        </w:tc>
      </w:tr>
      <w:tr w:rsidR="00B46D73">
        <w:tblPrEx>
          <w:tblCellMar>
            <w:top w:w="0" w:type="dxa"/>
            <w:bottom w:w="0" w:type="dxa"/>
          </w:tblCellMar>
        </w:tblPrEx>
        <w:tc>
          <w:tcPr>
            <w:tcW w:w="2160" w:type="dxa"/>
            <w:tcBorders>
              <w:top w:val="single" w:sz="4" w:space="0" w:color="000000"/>
              <w:left w:val="none" w:sz="0" w:space="0" w:color="FFFFFF"/>
              <w:bottom w:val="single" w:sz="4" w:space="0" w:color="000000"/>
              <w:right w:val="none" w:sz="0" w:space="0" w:color="FFFFFF"/>
            </w:tcBorders>
          </w:tcPr>
          <w:p w:rsidR="00B46D73" w:rsidRDefault="00D4374B">
            <w:r>
              <w:rPr>
                <w:sz w:val="18"/>
                <w:szCs w:val="18"/>
              </w:rPr>
              <w:t>Residual</w:t>
            </w:r>
          </w:p>
        </w:tc>
        <w:tc>
          <w:tcPr>
            <w:tcW w:w="1800" w:type="dxa"/>
            <w:tcBorders>
              <w:top w:val="single" w:sz="4" w:space="0" w:color="000000"/>
              <w:left w:val="none" w:sz="0" w:space="0" w:color="FFFFFF"/>
              <w:bottom w:val="single" w:sz="4" w:space="0" w:color="000000"/>
              <w:right w:val="none" w:sz="0" w:space="0" w:color="FFFFFF"/>
            </w:tcBorders>
          </w:tcPr>
          <w:p w:rsidR="00B46D73" w:rsidRDefault="00D4374B">
            <w:pPr>
              <w:jc w:val="center"/>
            </w:pPr>
            <w:r>
              <w:rPr>
                <w:sz w:val="18"/>
                <w:szCs w:val="18"/>
              </w:rPr>
              <w:t>144,686</w:t>
            </w:r>
          </w:p>
        </w:tc>
        <w:tc>
          <w:tcPr>
            <w:tcW w:w="1200" w:type="dxa"/>
            <w:tcBorders>
              <w:top w:val="single" w:sz="4" w:space="0" w:color="000000"/>
              <w:left w:val="none" w:sz="0" w:space="0" w:color="FFFFFF"/>
              <w:bottom w:val="single" w:sz="4" w:space="0" w:color="000000"/>
              <w:right w:val="none" w:sz="0" w:space="0" w:color="FFFFFF"/>
            </w:tcBorders>
          </w:tcPr>
          <w:p w:rsidR="00B46D73" w:rsidRDefault="00D4374B">
            <w:pPr>
              <w:jc w:val="center"/>
            </w:pPr>
            <w:r>
              <w:rPr>
                <w:sz w:val="18"/>
                <w:szCs w:val="18"/>
              </w:rPr>
              <w:t>24</w:t>
            </w:r>
          </w:p>
        </w:tc>
        <w:tc>
          <w:tcPr>
            <w:tcW w:w="1800" w:type="dxa"/>
            <w:tcBorders>
              <w:top w:val="single" w:sz="4" w:space="0" w:color="000000"/>
              <w:left w:val="none" w:sz="0" w:space="0" w:color="FFFFFF"/>
              <w:bottom w:val="single" w:sz="4" w:space="0" w:color="000000"/>
              <w:right w:val="none" w:sz="0" w:space="0" w:color="FFFFFF"/>
            </w:tcBorders>
          </w:tcPr>
          <w:p w:rsidR="00B46D73" w:rsidRDefault="00D4374B">
            <w:pPr>
              <w:jc w:val="center"/>
            </w:pPr>
            <w:r>
              <w:rPr>
                <w:sz w:val="18"/>
                <w:szCs w:val="18"/>
              </w:rPr>
              <w:t>6,029</w:t>
            </w:r>
          </w:p>
        </w:tc>
        <w:tc>
          <w:tcPr>
            <w:tcW w:w="1200" w:type="dxa"/>
            <w:tcBorders>
              <w:top w:val="single" w:sz="4" w:space="0" w:color="000000"/>
              <w:left w:val="none" w:sz="0" w:space="0" w:color="FFFFFF"/>
              <w:bottom w:val="single" w:sz="4" w:space="0" w:color="000000"/>
              <w:right w:val="none" w:sz="0" w:space="0" w:color="FFFFFF"/>
            </w:tcBorders>
          </w:tcPr>
          <w:p w:rsidR="00B46D73" w:rsidRDefault="00D4374B">
            <w:pPr>
              <w:jc w:val="center"/>
            </w:pPr>
            <w:r>
              <w:rPr>
                <w:sz w:val="18"/>
                <w:szCs w:val="18"/>
              </w:rPr>
              <w:t>-</w:t>
            </w:r>
          </w:p>
        </w:tc>
        <w:tc>
          <w:tcPr>
            <w:tcW w:w="1200" w:type="dxa"/>
            <w:tcBorders>
              <w:top w:val="single" w:sz="4" w:space="0" w:color="000000"/>
              <w:left w:val="none" w:sz="0" w:space="0" w:color="FFFFFF"/>
              <w:bottom w:val="single" w:sz="4" w:space="0" w:color="000000"/>
              <w:right w:val="none" w:sz="0" w:space="0" w:color="FFFFFF"/>
            </w:tcBorders>
          </w:tcPr>
          <w:p w:rsidR="00B46D73" w:rsidRDefault="00D4374B">
            <w:pPr>
              <w:jc w:val="center"/>
            </w:pPr>
            <w:r>
              <w:rPr>
                <w:sz w:val="18"/>
                <w:szCs w:val="18"/>
              </w:rPr>
              <w:t>-</w:t>
            </w:r>
          </w:p>
        </w:tc>
      </w:tr>
      <w:tr w:rsidR="00B46D73">
        <w:tblPrEx>
          <w:tblCellMar>
            <w:top w:w="0" w:type="dxa"/>
            <w:bottom w:w="0" w:type="dxa"/>
          </w:tblCellMar>
        </w:tblPrEx>
        <w:tc>
          <w:tcPr>
            <w:tcW w:w="2160" w:type="dxa"/>
            <w:tcBorders>
              <w:top w:val="single" w:sz="4" w:space="0" w:color="000000"/>
              <w:left w:val="none" w:sz="0" w:space="0" w:color="FFFFFF"/>
              <w:bottom w:val="single" w:sz="4" w:space="0" w:color="000000"/>
              <w:right w:val="none" w:sz="0" w:space="0" w:color="FFFFFF"/>
            </w:tcBorders>
          </w:tcPr>
          <w:p w:rsidR="00B46D73" w:rsidRDefault="00D4374B">
            <w:r>
              <w:rPr>
                <w:sz w:val="18"/>
                <w:szCs w:val="18"/>
              </w:rPr>
              <w:t>Total</w:t>
            </w:r>
          </w:p>
        </w:tc>
        <w:tc>
          <w:tcPr>
            <w:tcW w:w="1800" w:type="dxa"/>
            <w:tcBorders>
              <w:top w:val="single" w:sz="4" w:space="0" w:color="000000"/>
              <w:left w:val="none" w:sz="0" w:space="0" w:color="FFFFFF"/>
              <w:bottom w:val="single" w:sz="4" w:space="0" w:color="000000"/>
              <w:right w:val="none" w:sz="0" w:space="0" w:color="FFFFFF"/>
            </w:tcBorders>
          </w:tcPr>
          <w:p w:rsidR="00B46D73" w:rsidRDefault="00D4374B">
            <w:pPr>
              <w:jc w:val="center"/>
            </w:pPr>
            <w:r>
              <w:rPr>
                <w:sz w:val="18"/>
                <w:szCs w:val="18"/>
              </w:rPr>
              <w:t>714,967</w:t>
            </w:r>
          </w:p>
        </w:tc>
        <w:tc>
          <w:tcPr>
            <w:tcW w:w="1200" w:type="dxa"/>
            <w:tcBorders>
              <w:top w:val="single" w:sz="4" w:space="0" w:color="000000"/>
              <w:left w:val="none" w:sz="0" w:space="0" w:color="FFFFFF"/>
              <w:bottom w:val="single" w:sz="4" w:space="0" w:color="000000"/>
              <w:right w:val="none" w:sz="0" w:space="0" w:color="FFFFFF"/>
            </w:tcBorders>
          </w:tcPr>
          <w:p w:rsidR="00B46D73" w:rsidRDefault="00D4374B">
            <w:pPr>
              <w:jc w:val="center"/>
            </w:pPr>
            <w:r>
              <w:rPr>
                <w:sz w:val="18"/>
                <w:szCs w:val="18"/>
              </w:rPr>
              <w:t>29</w:t>
            </w:r>
          </w:p>
        </w:tc>
        <w:tc>
          <w:tcPr>
            <w:tcW w:w="1800" w:type="dxa"/>
            <w:tcBorders>
              <w:top w:val="single" w:sz="4" w:space="0" w:color="000000"/>
              <w:left w:val="none" w:sz="0" w:space="0" w:color="FFFFFF"/>
              <w:bottom w:val="single" w:sz="4" w:space="0" w:color="000000"/>
              <w:right w:val="none" w:sz="0" w:space="0" w:color="FFFFFF"/>
            </w:tcBorders>
          </w:tcPr>
          <w:p w:rsidR="00B46D73" w:rsidRDefault="00D4374B">
            <w:pPr>
              <w:jc w:val="center"/>
            </w:pPr>
            <w:r>
              <w:rPr>
                <w:sz w:val="18"/>
                <w:szCs w:val="18"/>
              </w:rPr>
              <w:t>-</w:t>
            </w:r>
          </w:p>
        </w:tc>
        <w:tc>
          <w:tcPr>
            <w:tcW w:w="1200" w:type="dxa"/>
            <w:tcBorders>
              <w:top w:val="single" w:sz="4" w:space="0" w:color="000000"/>
              <w:left w:val="none" w:sz="0" w:space="0" w:color="FFFFFF"/>
              <w:bottom w:val="single" w:sz="4" w:space="0" w:color="000000"/>
              <w:right w:val="none" w:sz="0" w:space="0" w:color="FFFFFF"/>
            </w:tcBorders>
          </w:tcPr>
          <w:p w:rsidR="00B46D73" w:rsidRDefault="00D4374B">
            <w:pPr>
              <w:jc w:val="center"/>
            </w:pPr>
            <w:r>
              <w:rPr>
                <w:sz w:val="18"/>
                <w:szCs w:val="18"/>
              </w:rPr>
              <w:t>-</w:t>
            </w:r>
          </w:p>
        </w:tc>
        <w:tc>
          <w:tcPr>
            <w:tcW w:w="1200" w:type="dxa"/>
            <w:tcBorders>
              <w:top w:val="single" w:sz="4" w:space="0" w:color="000000"/>
              <w:left w:val="none" w:sz="0" w:space="0" w:color="FFFFFF"/>
              <w:bottom w:val="single" w:sz="4" w:space="0" w:color="000000"/>
              <w:right w:val="none" w:sz="0" w:space="0" w:color="FFFFFF"/>
            </w:tcBorders>
          </w:tcPr>
          <w:p w:rsidR="00B46D73" w:rsidRDefault="00D4374B">
            <w:pPr>
              <w:jc w:val="center"/>
            </w:pPr>
            <w:r>
              <w:rPr>
                <w:sz w:val="18"/>
                <w:szCs w:val="18"/>
              </w:rPr>
              <w:t>-</w:t>
            </w:r>
          </w:p>
        </w:tc>
      </w:tr>
    </w:tbl>
    <w:p w:rsidR="00B46D73" w:rsidRDefault="00D4374B">
      <w:pPr>
        <w:spacing w:after="150"/>
      </w:pPr>
      <w:r>
        <w:rPr>
          <w:i/>
          <w:iCs/>
        </w:rPr>
        <w:t>Sumber: Data diolah SPSS (2026)</w:t>
      </w:r>
    </w:p>
    <w:p w:rsidR="00B46D73" w:rsidRDefault="00D4374B">
      <w:pPr>
        <w:spacing w:after="100"/>
        <w:ind w:firstLine="431"/>
        <w:jc w:val="both"/>
      </w:pPr>
      <w:r>
        <w:t>Nilai F hitung sebesar 18,919 dengan tingkat signifikansi 0,000 (F hitung &gt; F tabel 2,62 dan Sig. &lt;</w:t>
      </w:r>
      <w:r>
        <w:t xml:space="preserve"> 0,05), sehingga H0 ditolak dan Ha diterima. Hal ini membuktikan bahwa prinsip transparansi, akuntabilitas, pertanggungjawaban, independensi, dan kewajaran secara simultan berpengaruh signifikan terhadap kinerja lembaga pengelola zakat di BAZNAS Kabupaten </w:t>
      </w:r>
      <w:r>
        <w:t>Bengkalis. Kondisi ini menunjukkan bahwa kelima prinsip Good Corporate Governance membentuk satu kesatuan tata kelola yang saling melengkapi, sehingga akan berjalan optimal apabila didukung oleh transparansi data dan kemampuan lembaga dalam mengambil keput</w:t>
      </w:r>
      <w:r>
        <w:t>usan secara efisien.</w:t>
      </w:r>
    </w:p>
    <w:p w:rsidR="00D15F37" w:rsidRDefault="00D15F37">
      <w:pPr>
        <w:spacing w:before="150" w:after="80"/>
        <w:jc w:val="center"/>
        <w:rPr>
          <w:b/>
          <w:bCs/>
        </w:rPr>
      </w:pPr>
    </w:p>
    <w:p w:rsidR="00D15F37" w:rsidRDefault="00D15F37">
      <w:pPr>
        <w:spacing w:before="150" w:after="80"/>
        <w:jc w:val="center"/>
        <w:rPr>
          <w:b/>
          <w:bCs/>
        </w:rPr>
      </w:pPr>
    </w:p>
    <w:p w:rsidR="00D15F37" w:rsidRDefault="00D15F37">
      <w:pPr>
        <w:spacing w:before="150" w:after="80"/>
        <w:jc w:val="center"/>
        <w:rPr>
          <w:b/>
          <w:bCs/>
        </w:rPr>
      </w:pPr>
    </w:p>
    <w:p w:rsidR="00B46D73" w:rsidRDefault="00D4374B">
      <w:pPr>
        <w:spacing w:before="150" w:after="80"/>
        <w:jc w:val="center"/>
      </w:pPr>
      <w:r>
        <w:rPr>
          <w:b/>
          <w:bCs/>
        </w:rPr>
        <w:lastRenderedPageBreak/>
        <w:t>Tabel 3. Hasil Uji Koefisien Determinasi (R Square)</w:t>
      </w:r>
    </w:p>
    <w:tbl>
      <w:tblPr>
        <w:tblW w:w="936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60"/>
        <w:gridCol w:w="2600"/>
        <w:gridCol w:w="2600"/>
        <w:gridCol w:w="2600"/>
      </w:tblGrid>
      <w:tr w:rsidR="00B46D73">
        <w:tblPrEx>
          <w:tblCellMar>
            <w:top w:w="0" w:type="dxa"/>
            <w:bottom w:w="0" w:type="dxa"/>
          </w:tblCellMar>
        </w:tblPrEx>
        <w:tc>
          <w:tcPr>
            <w:tcW w:w="1560" w:type="dxa"/>
            <w:tcBorders>
              <w:top w:val="single" w:sz="4" w:space="0" w:color="000000"/>
              <w:left w:val="none" w:sz="0" w:space="0" w:color="FFFFFF"/>
              <w:bottom w:val="single" w:sz="4" w:space="0" w:color="000000"/>
              <w:right w:val="none" w:sz="0" w:space="0" w:color="FFFFFF"/>
            </w:tcBorders>
            <w:shd w:val="clear" w:color="auto" w:fill="D9D9D9"/>
          </w:tcPr>
          <w:p w:rsidR="00B46D73" w:rsidRDefault="00D4374B">
            <w:pPr>
              <w:jc w:val="center"/>
            </w:pPr>
            <w:r>
              <w:rPr>
                <w:b/>
                <w:bCs/>
                <w:sz w:val="18"/>
                <w:szCs w:val="18"/>
              </w:rPr>
              <w:t>Model</w:t>
            </w:r>
          </w:p>
        </w:tc>
        <w:tc>
          <w:tcPr>
            <w:tcW w:w="2600" w:type="dxa"/>
            <w:tcBorders>
              <w:top w:val="single" w:sz="4" w:space="0" w:color="000000"/>
              <w:left w:val="none" w:sz="0" w:space="0" w:color="FFFFFF"/>
              <w:bottom w:val="single" w:sz="4" w:space="0" w:color="000000"/>
              <w:right w:val="none" w:sz="0" w:space="0" w:color="FFFFFF"/>
            </w:tcBorders>
            <w:shd w:val="clear" w:color="auto" w:fill="D9D9D9"/>
          </w:tcPr>
          <w:p w:rsidR="00B46D73" w:rsidRDefault="00D4374B">
            <w:pPr>
              <w:jc w:val="center"/>
            </w:pPr>
            <w:r>
              <w:rPr>
                <w:b/>
                <w:bCs/>
                <w:sz w:val="18"/>
                <w:szCs w:val="18"/>
              </w:rPr>
              <w:t>R</w:t>
            </w:r>
          </w:p>
        </w:tc>
        <w:tc>
          <w:tcPr>
            <w:tcW w:w="2600" w:type="dxa"/>
            <w:tcBorders>
              <w:top w:val="single" w:sz="4" w:space="0" w:color="000000"/>
              <w:left w:val="none" w:sz="0" w:space="0" w:color="FFFFFF"/>
              <w:bottom w:val="single" w:sz="4" w:space="0" w:color="000000"/>
              <w:right w:val="none" w:sz="0" w:space="0" w:color="FFFFFF"/>
            </w:tcBorders>
            <w:shd w:val="clear" w:color="auto" w:fill="D9D9D9"/>
          </w:tcPr>
          <w:p w:rsidR="00B46D73" w:rsidRDefault="00D4374B">
            <w:pPr>
              <w:jc w:val="center"/>
            </w:pPr>
            <w:r>
              <w:rPr>
                <w:b/>
                <w:bCs/>
                <w:sz w:val="18"/>
                <w:szCs w:val="18"/>
              </w:rPr>
              <w:t>R Square</w:t>
            </w:r>
          </w:p>
        </w:tc>
        <w:tc>
          <w:tcPr>
            <w:tcW w:w="2600" w:type="dxa"/>
            <w:tcBorders>
              <w:top w:val="single" w:sz="4" w:space="0" w:color="000000"/>
              <w:left w:val="none" w:sz="0" w:space="0" w:color="FFFFFF"/>
              <w:bottom w:val="single" w:sz="4" w:space="0" w:color="000000"/>
              <w:right w:val="none" w:sz="0" w:space="0" w:color="FFFFFF"/>
            </w:tcBorders>
            <w:shd w:val="clear" w:color="auto" w:fill="D9D9D9"/>
          </w:tcPr>
          <w:p w:rsidR="00B46D73" w:rsidRDefault="00D4374B">
            <w:pPr>
              <w:jc w:val="center"/>
            </w:pPr>
            <w:r>
              <w:rPr>
                <w:b/>
                <w:bCs/>
                <w:sz w:val="18"/>
                <w:szCs w:val="18"/>
              </w:rPr>
              <w:t>Adjusted R Square</w:t>
            </w:r>
          </w:p>
        </w:tc>
      </w:tr>
      <w:tr w:rsidR="00B46D73">
        <w:tblPrEx>
          <w:tblCellMar>
            <w:top w:w="0" w:type="dxa"/>
            <w:bottom w:w="0" w:type="dxa"/>
          </w:tblCellMar>
        </w:tblPrEx>
        <w:tc>
          <w:tcPr>
            <w:tcW w:w="1560" w:type="dxa"/>
            <w:tcBorders>
              <w:top w:val="single" w:sz="4" w:space="0" w:color="000000"/>
              <w:left w:val="none" w:sz="0" w:space="0" w:color="FFFFFF"/>
              <w:bottom w:val="single" w:sz="4" w:space="0" w:color="000000"/>
              <w:right w:val="none" w:sz="0" w:space="0" w:color="FFFFFF"/>
            </w:tcBorders>
          </w:tcPr>
          <w:p w:rsidR="00B46D73" w:rsidRDefault="00D4374B">
            <w:pPr>
              <w:jc w:val="center"/>
            </w:pPr>
            <w:r>
              <w:rPr>
                <w:sz w:val="18"/>
                <w:szCs w:val="18"/>
              </w:rPr>
              <w:t>1</w:t>
            </w:r>
          </w:p>
        </w:tc>
        <w:tc>
          <w:tcPr>
            <w:tcW w:w="2600" w:type="dxa"/>
            <w:tcBorders>
              <w:top w:val="single" w:sz="4" w:space="0" w:color="000000"/>
              <w:left w:val="none" w:sz="0" w:space="0" w:color="FFFFFF"/>
              <w:bottom w:val="single" w:sz="4" w:space="0" w:color="000000"/>
              <w:right w:val="none" w:sz="0" w:space="0" w:color="FFFFFF"/>
            </w:tcBorders>
          </w:tcPr>
          <w:p w:rsidR="00B46D73" w:rsidRDefault="00D4374B">
            <w:pPr>
              <w:jc w:val="center"/>
            </w:pPr>
            <w:r>
              <w:rPr>
                <w:sz w:val="18"/>
                <w:szCs w:val="18"/>
              </w:rPr>
              <w:t>0,893</w:t>
            </w:r>
          </w:p>
        </w:tc>
        <w:tc>
          <w:tcPr>
            <w:tcW w:w="2600" w:type="dxa"/>
            <w:tcBorders>
              <w:top w:val="single" w:sz="4" w:space="0" w:color="000000"/>
              <w:left w:val="none" w:sz="0" w:space="0" w:color="FFFFFF"/>
              <w:bottom w:val="single" w:sz="4" w:space="0" w:color="000000"/>
              <w:right w:val="none" w:sz="0" w:space="0" w:color="FFFFFF"/>
            </w:tcBorders>
          </w:tcPr>
          <w:p w:rsidR="00B46D73" w:rsidRDefault="00D4374B">
            <w:pPr>
              <w:jc w:val="center"/>
            </w:pPr>
            <w:r>
              <w:rPr>
                <w:sz w:val="18"/>
                <w:szCs w:val="18"/>
              </w:rPr>
              <w:t>0,798</w:t>
            </w:r>
          </w:p>
        </w:tc>
        <w:tc>
          <w:tcPr>
            <w:tcW w:w="2600" w:type="dxa"/>
            <w:tcBorders>
              <w:top w:val="single" w:sz="4" w:space="0" w:color="000000"/>
              <w:left w:val="none" w:sz="0" w:space="0" w:color="FFFFFF"/>
              <w:bottom w:val="single" w:sz="4" w:space="0" w:color="000000"/>
              <w:right w:val="none" w:sz="0" w:space="0" w:color="FFFFFF"/>
            </w:tcBorders>
          </w:tcPr>
          <w:p w:rsidR="00B46D73" w:rsidRDefault="00D4374B">
            <w:pPr>
              <w:jc w:val="center"/>
            </w:pPr>
            <w:r>
              <w:rPr>
                <w:sz w:val="18"/>
                <w:szCs w:val="18"/>
              </w:rPr>
              <w:t>0,755</w:t>
            </w:r>
          </w:p>
        </w:tc>
      </w:tr>
    </w:tbl>
    <w:p w:rsidR="00B46D73" w:rsidRDefault="00D4374B">
      <w:pPr>
        <w:spacing w:after="150"/>
      </w:pPr>
      <w:r>
        <w:rPr>
          <w:i/>
          <w:iCs/>
        </w:rPr>
        <w:t>Sumber: Data diolah SPSS (2026)</w:t>
      </w:r>
    </w:p>
    <w:p w:rsidR="00B46D73" w:rsidRDefault="00D4374B">
      <w:pPr>
        <w:spacing w:after="100"/>
        <w:ind w:firstLine="431"/>
        <w:jc w:val="both"/>
      </w:pPr>
      <w:r>
        <w:t>Nilai Adjusted R Square sebesar 0,755 menunjukkan bahwa 75,5% variasi kinerja lembaga pengelola zakat di BAZNAS Kabupaten Bengkalis dapat dijelaskan oleh kelima prinsip Good Corporate Governance, sedangkan sisanya sebesar 24,5% dipengaruhi oleh faktor lain</w:t>
      </w:r>
      <w:r>
        <w:t xml:space="preserve"> di luar model penelitian ini.</w:t>
      </w:r>
    </w:p>
    <w:p w:rsidR="00B46D73" w:rsidRDefault="00D4374B">
      <w:pPr>
        <w:spacing w:before="150" w:after="100"/>
      </w:pPr>
      <w:r>
        <w:rPr>
          <w:b/>
          <w:bCs/>
          <w:color w:val="000000"/>
        </w:rPr>
        <w:t>3.1. Pengaruh Transparansi terhadap Kinerja Lembaga Pengelola Zakat</w:t>
      </w:r>
    </w:p>
    <w:p w:rsidR="00B46D73" w:rsidRDefault="00D4374B">
      <w:pPr>
        <w:spacing w:after="100"/>
        <w:ind w:firstLine="431"/>
        <w:jc w:val="both"/>
      </w:pPr>
      <w:r>
        <w:t xml:space="preserve">Hasil uji t menunjukkan bahwa variabel transparansi tidak berpengaruh signifikan terhadap kinerja lembaga pengelola zakat, dengan nilai signifikansi 0,915 &gt; </w:t>
      </w:r>
      <w:r>
        <w:t>0,05 dan nilai t hitung 0,108 &lt; t tabel 1,710, sehingga H0 diterima dan Ha ditolak. Hal ini mengindikasikan bahwa tidak semua muzaki atau masyarakat mampu membaca dan memahami laporan keuangan secara detail, sehingga ketersediaan dokumen transparansi belum</w:t>
      </w:r>
      <w:r>
        <w:t xml:space="preserve"> tentu memengaruhi minat atau kepatuhan mereka terhadap lembaga pengelola zakat.</w:t>
      </w:r>
    </w:p>
    <w:p w:rsidR="00B46D73" w:rsidRDefault="00D4374B">
      <w:pPr>
        <w:spacing w:before="150" w:after="100"/>
      </w:pPr>
      <w:r>
        <w:rPr>
          <w:b/>
          <w:bCs/>
          <w:color w:val="000000"/>
        </w:rPr>
        <w:t>3.2. Pengaruh Akuntabilitas terhadap Kinerja Lembaga Pengelola Zakat</w:t>
      </w:r>
    </w:p>
    <w:p w:rsidR="00B46D73" w:rsidRDefault="00D4374B">
      <w:pPr>
        <w:spacing w:after="100"/>
        <w:ind w:firstLine="431"/>
        <w:jc w:val="both"/>
      </w:pPr>
      <w:r>
        <w:t>Variabel akuntabilitas terbukti berpengaruh signifikan terhadap kinerja lembaga pengelola zakat, dengan ni</w:t>
      </w:r>
      <w:r>
        <w:t xml:space="preserve">lai signifikansi 0,045 &lt; 0,05 dan nilai t hitung 2,116 &gt; t tabel 1,710, sehingga Ha diterima dan H0 ditolak. Temuan ini menunjukkan bahwa prinsip akuntabilitas menekankan pentingnya sistem pengawasan yang efektif melalui pemisahan kekuasaan antara lembaga </w:t>
      </w:r>
      <w:r>
        <w:t>pengelola zakat dan muzaki, yang meliputi pemantauan, penilaian, dan pengendalian manajemen guna memastikan manajemen bertindak untuk kepentingan terbaik para pemangku kepentingan. Hasil ini sejalan dengan temuan Febriansyah dkk., yang menunjukkan bahwa pr</w:t>
      </w:r>
      <w:r>
        <w:t>insip akuntabilitas mendorong terbentuknya fungsi pengendalian internal yang membantu meningkatkan kinerja lembaga [8].</w:t>
      </w:r>
    </w:p>
    <w:p w:rsidR="00B46D73" w:rsidRDefault="00D4374B">
      <w:pPr>
        <w:spacing w:before="150" w:after="100"/>
      </w:pPr>
      <w:r>
        <w:rPr>
          <w:b/>
          <w:bCs/>
          <w:color w:val="000000"/>
        </w:rPr>
        <w:t>3.3. Pengaruh Pertanggungjawaban terhadap Kinerja Lembaga Pengelola Zakat</w:t>
      </w:r>
    </w:p>
    <w:p w:rsidR="00B46D73" w:rsidRDefault="00D4374B">
      <w:pPr>
        <w:spacing w:after="100"/>
        <w:ind w:firstLine="431"/>
        <w:jc w:val="both"/>
      </w:pPr>
      <w:r>
        <w:t>Variabel pertanggungjawaban terbukti berpengaruh signifikan te</w:t>
      </w:r>
      <w:r>
        <w:t>rhadap kinerja lembaga pengelola zakat, dengan nilai signifikansi 0,010 &lt; 0,05 dan nilai t hitung 2,799 &gt; t tabel 1,710, sehingga Ha diterima dan H0 ditolak. Hasil ini menunjukkan bahwa lembaga pengelola zakat yang kompeten, profesional, dan beretika mampu</w:t>
      </w:r>
      <w:r>
        <w:t xml:space="preserve"> meminimalkan penyalahgunaan kekuasaan, sekaligus meningkatkan kepatuhan terhadap peraturan perundang-undangan dan prinsip pengelolaan organisasi yang sehat, sehingga meningkatkan kinerja personal maupun kelembagaan. Temuan ini sejalan dengan penelitian Mu</w:t>
      </w:r>
      <w:r>
        <w:t>aminah dan Pharadiansah [?], yang mengaitkan prinsip pertanggungjawaban dengan pelaksanaan tindakan berdasarkan nilai moral, etos kerja, kepatuhan hukum, dan tanggung jawab sosial.</w:t>
      </w:r>
    </w:p>
    <w:p w:rsidR="00B46D73" w:rsidRDefault="00D4374B">
      <w:pPr>
        <w:spacing w:before="150" w:after="100"/>
      </w:pPr>
      <w:r>
        <w:rPr>
          <w:b/>
          <w:bCs/>
          <w:color w:val="000000"/>
        </w:rPr>
        <w:t>3.4. Pengaruh Independensi terhadap Kinerja Lembaga Pengelola Zakat</w:t>
      </w:r>
    </w:p>
    <w:p w:rsidR="00B46D73" w:rsidRDefault="00D4374B">
      <w:pPr>
        <w:spacing w:after="100"/>
        <w:ind w:firstLine="431"/>
        <w:jc w:val="both"/>
      </w:pPr>
      <w:r>
        <w:t>Variabe</w:t>
      </w:r>
      <w:r>
        <w:t>l independensi tidak berpengaruh signifikan terhadap kinerja lembaga pengelola zakat, dengan nilai signifikansi 0,487 &gt; 0,05 dan nilai t hitung 0,706 &lt; t tabel 1,710, sehingga H0 diterima dan Ha ditolak. Hasil ini mengindikasikan masih terdapat pengaruh da</w:t>
      </w:r>
      <w:r>
        <w:t>ri pihak atasan maupun pihak eksternal terhadap pegawai, sehingga pegawai mengalami tekanan baik dari dalam maupun luar lembaga dalam menjalankan peran, tugas, dan kewajibannya.</w:t>
      </w:r>
    </w:p>
    <w:p w:rsidR="00B46D73" w:rsidRDefault="00D4374B">
      <w:pPr>
        <w:spacing w:before="150" w:after="100"/>
      </w:pPr>
      <w:r>
        <w:rPr>
          <w:b/>
          <w:bCs/>
          <w:color w:val="000000"/>
        </w:rPr>
        <w:t>3.5. Pengaruh Kewajaran terhadap Kinerja Lembaga Pengelola Zakat</w:t>
      </w:r>
    </w:p>
    <w:p w:rsidR="00B46D73" w:rsidRDefault="00D4374B">
      <w:pPr>
        <w:spacing w:after="100"/>
        <w:ind w:firstLine="431"/>
        <w:jc w:val="both"/>
      </w:pPr>
      <w:r>
        <w:t>Variabel kewa</w:t>
      </w:r>
      <w:r>
        <w:t>jaran tidak berpengaruh signifikan terhadap kinerja lembaga pengelola zakat, dengan nilai signifikansi 0,506 &gt; 0,05 dan nilai t hitung -0,675 &lt; t tabel 1,710, sehingga H0 diterima dan Ha ditolak. Hal ini menunjukkan bahwa aspek kewajaran, termasuk kejelasa</w:t>
      </w:r>
      <w:r>
        <w:t>n hak muzaki dan kesempatan menyampaikan pendapat kepada lembaga, belum secara langsung memengaruhi kinerja pegawai, meskipun prinsip kesetaraan tetap berperan dalam mengatur pembagian peran dan tanggung jawab manajemen.</w:t>
      </w:r>
    </w:p>
    <w:p w:rsidR="00B46D73" w:rsidRDefault="00D4374B" w:rsidP="00D15F37">
      <w:pPr>
        <w:spacing w:before="200" w:after="100"/>
      </w:pPr>
      <w:r>
        <w:rPr>
          <w:b/>
          <w:bCs/>
          <w:color w:val="000000"/>
        </w:rPr>
        <w:t xml:space="preserve">4. </w:t>
      </w:r>
      <w:r w:rsidR="00D15F37">
        <w:rPr>
          <w:b/>
          <w:bCs/>
          <w:color w:val="000000"/>
        </w:rPr>
        <w:t>KE</w:t>
      </w:r>
      <w:r>
        <w:rPr>
          <w:b/>
          <w:bCs/>
          <w:color w:val="000000"/>
        </w:rPr>
        <w:t xml:space="preserve">SIMPULAN </w:t>
      </w:r>
    </w:p>
    <w:p w:rsidR="00B46D73" w:rsidRDefault="00D4374B">
      <w:pPr>
        <w:spacing w:after="100"/>
        <w:ind w:firstLine="431"/>
        <w:jc w:val="both"/>
      </w:pPr>
      <w:r>
        <w:t>Berdasarkan hasil analisis dan pembahasan, dapat disimpulkan bahwa prinsip akuntabilitas dan pertanggungjawaban secara parsial berpengaruh signifikan terhadap kinerja lembaga pengelola zakat di BAZNAS Kabupaten Bengkalis, sedangkan prinsip transparansi, in</w:t>
      </w:r>
      <w:r>
        <w:t>dependensi, dan kewajaran secara parsial tidak menunjukkan pengaruh yang signifikan. Prinsip akuntabilitas berperan melalui terbangunnya sistem pengawasan yang efektif dalam pengelolaan dana zakat, sementara prinsip pertanggungjawaban tercermin dari kompet</w:t>
      </w:r>
      <w:r>
        <w:t>ensi, profesionalisme, dan kepatuhan lembaga terhadap peraturan yang berlaku. Adapun tidak signifikannya transparansi, independensi, dan kewajaran mengindikasikan bahwa ketiga aspek tersebut belum sepenuhnya dipahami atau dirasakan secara langsung oleh peg</w:t>
      </w:r>
      <w:r>
        <w:t>awai maupun muzaki dalam konteks BAZNAS Kabupaten Bengkalis.</w:t>
      </w:r>
    </w:p>
    <w:p w:rsidR="00B46D73" w:rsidRDefault="00D4374B">
      <w:pPr>
        <w:spacing w:after="100"/>
        <w:ind w:firstLine="431"/>
        <w:jc w:val="both"/>
      </w:pPr>
      <w:r>
        <w:t>Secara simultan, kelima prinsip Good Corporate Governance terbukti berpengaruh signifikan terhadap kinerja lembaga pengelola zakat, dengan kemampuan menjelaskan sebesar 75,5% variasi kinerja. Tem</w:t>
      </w:r>
      <w:r>
        <w:t xml:space="preserve">uan ini menegaskan </w:t>
      </w:r>
      <w:r>
        <w:lastRenderedPageBreak/>
        <w:t>bahwa prinsip-prinsip GCG membentuk satu kesatuan tata kelola yang saling melengkapi, dan hanya akan berjalan optimal apabila diterapkan secara menyeluruh dan didukung oleh transparansi data serta pengambilan keputusan yang efisien di ti</w:t>
      </w:r>
      <w:r>
        <w:t>ngkat kelembagaan.</w:t>
      </w:r>
    </w:p>
    <w:p w:rsidR="00B46D73" w:rsidRDefault="00D4374B">
      <w:pPr>
        <w:spacing w:after="100"/>
        <w:ind w:firstLine="431"/>
        <w:jc w:val="both"/>
      </w:pPr>
      <w:r>
        <w:t>Hasil penelitian ini dapat menjadi bahan pertimbangan bagi BAZNAS Kabupaten Bengkalis dan lembaga pengelola zakat lain dalam memperkuat penerapan prinsip Good Corporate Governance secara menyeluruh, meningkatkan komunikasi antara pimpinan dan pegawai, sert</w:t>
      </w:r>
      <w:r>
        <w:t xml:space="preserve">a mengembangkan sumber daya manusia yang profesional guna mendukung pertumbuhan kelembagaan zakat dan ekonomi Islam secara umum. Penelitian selanjutnya disarankan memperluas cakupan sampel dan lokasi penelitian agar hasil dapat digeneralisasi secara lebih </w:t>
      </w:r>
      <w:r>
        <w:t>luas.</w:t>
      </w:r>
    </w:p>
    <w:p w:rsidR="00B46D73" w:rsidRDefault="00D4374B" w:rsidP="00D15F37">
      <w:pPr>
        <w:spacing w:before="200" w:after="100"/>
      </w:pPr>
      <w:r>
        <w:rPr>
          <w:b/>
          <w:bCs/>
          <w:color w:val="000000"/>
        </w:rPr>
        <w:t xml:space="preserve">DAFTAR PUSTAKA </w:t>
      </w:r>
    </w:p>
    <w:p w:rsidR="00B46D73" w:rsidRDefault="00D4374B">
      <w:pPr>
        <w:spacing w:after="60"/>
        <w:ind w:left="431" w:hanging="431"/>
      </w:pPr>
      <w:r>
        <w:rPr>
          <w:sz w:val="16"/>
          <w:szCs w:val="16"/>
        </w:rPr>
        <w:t>[1] A. A. Sawmar and M. O. Mohammed, “Enhancing zakat compliance through good governance: A conceptual framework,” ISRA Int. J. Islamic Finance, vol. 13, no. 1, pp. 136–154, 2021.</w:t>
      </w:r>
    </w:p>
    <w:p w:rsidR="00B46D73" w:rsidRDefault="00D4374B">
      <w:pPr>
        <w:spacing w:after="60"/>
        <w:ind w:left="431" w:hanging="431"/>
      </w:pPr>
      <w:r>
        <w:rPr>
          <w:sz w:val="16"/>
          <w:szCs w:val="16"/>
        </w:rPr>
        <w:t>[2] R. T. Pitriani, “Zakat: Konsep dan peranann</w:t>
      </w:r>
      <w:r>
        <w:rPr>
          <w:sz w:val="16"/>
          <w:szCs w:val="16"/>
        </w:rPr>
        <w:t>ya dalam pembangunan sosial dan ekonomi masyarakat,” Ekon. Keuangan Syariah dan Akunt. Pajak (EKSAP), vol. 2, no. 4, pp. 45–46, 2025.</w:t>
      </w:r>
    </w:p>
    <w:p w:rsidR="00B46D73" w:rsidRDefault="00D4374B">
      <w:pPr>
        <w:spacing w:after="60"/>
        <w:ind w:left="431" w:hanging="431"/>
      </w:pPr>
      <w:r>
        <w:rPr>
          <w:sz w:val="16"/>
          <w:szCs w:val="16"/>
        </w:rPr>
        <w:t>[3] E. J. Aldridge, Good Corporate Governance (Tata Kelola Perusahaan yang Sehat). Jakarta, Indonesia: PT. Damar Mulia, 20</w:t>
      </w:r>
      <w:r>
        <w:rPr>
          <w:sz w:val="16"/>
          <w:szCs w:val="16"/>
        </w:rPr>
        <w:t>22.</w:t>
      </w:r>
    </w:p>
    <w:p w:rsidR="00B46D73" w:rsidRDefault="00D4374B">
      <w:pPr>
        <w:spacing w:after="60"/>
        <w:ind w:left="431" w:hanging="431"/>
      </w:pPr>
      <w:r>
        <w:rPr>
          <w:sz w:val="16"/>
          <w:szCs w:val="16"/>
        </w:rPr>
        <w:t>[4] D. Rahman and M. Koesmawan, “Analysis of PSAK 109 implementation on good corporate governance of amil zakat institutions,” J. Multidisiplin Madani, vol. 3, no. 12, pp. 2567–2578, 2023.</w:t>
      </w:r>
    </w:p>
    <w:p w:rsidR="00B46D73" w:rsidRDefault="00D4374B">
      <w:pPr>
        <w:spacing w:after="60"/>
        <w:ind w:left="431" w:hanging="431"/>
      </w:pPr>
      <w:r>
        <w:rPr>
          <w:sz w:val="16"/>
          <w:szCs w:val="16"/>
        </w:rPr>
        <w:t>[5] Irmawati et al., “Implementation of good corporate governan</w:t>
      </w:r>
      <w:r>
        <w:rPr>
          <w:sz w:val="16"/>
          <w:szCs w:val="16"/>
        </w:rPr>
        <w:t>ce towards productive zakat distribution at BAZNAS Kab. Majene,” J. Ilmu Manajemen, vol. 9, no. 1, pp. 18–19, 2025.</w:t>
      </w:r>
    </w:p>
    <w:p w:rsidR="00B46D73" w:rsidRDefault="00D4374B">
      <w:pPr>
        <w:spacing w:after="60"/>
        <w:ind w:left="431" w:hanging="431"/>
      </w:pPr>
      <w:r>
        <w:rPr>
          <w:sz w:val="16"/>
          <w:szCs w:val="16"/>
        </w:rPr>
        <w:t>[6] Muliansyah and Hermawan, “The integration of sharia-based good corporate governance and environmental, social, and governance in enhanci</w:t>
      </w:r>
      <w:r>
        <w:rPr>
          <w:sz w:val="16"/>
          <w:szCs w:val="16"/>
        </w:rPr>
        <w:t>ng donor participation,” J. Ekon. dan Keuangan, vol. 9, no. 3, p. 507, 2025.</w:t>
      </w:r>
    </w:p>
    <w:p w:rsidR="00B46D73" w:rsidRDefault="00D4374B">
      <w:pPr>
        <w:spacing w:after="60"/>
        <w:ind w:left="431" w:hanging="431"/>
      </w:pPr>
      <w:r>
        <w:rPr>
          <w:sz w:val="16"/>
          <w:szCs w:val="16"/>
        </w:rPr>
        <w:t>[7] Sugiarto, Metodologi Penelitian Bisnis. Yogyakarta, Indonesia: ANDI, 2022.</w:t>
      </w:r>
    </w:p>
    <w:p w:rsidR="00B46D73" w:rsidRDefault="00D4374B">
      <w:pPr>
        <w:spacing w:after="60"/>
        <w:ind w:left="431" w:hanging="431"/>
      </w:pPr>
      <w:r>
        <w:rPr>
          <w:sz w:val="16"/>
          <w:szCs w:val="16"/>
        </w:rPr>
        <w:t>[8] F. Febriansyah, R. Handayani, Y. Rahman, and Maswani, “Digital-based zakat management from a goo</w:t>
      </w:r>
      <w:r>
        <w:rPr>
          <w:sz w:val="16"/>
          <w:szCs w:val="16"/>
        </w:rPr>
        <w:t>d governance perspective at BAZNAS Muara Enim,” Rev. Islamic Social Finance Entrepreneurship, vol. 5, no. 1, pp. 45–57, 2025.</w:t>
      </w:r>
    </w:p>
    <w:p w:rsidR="00B46D73" w:rsidRDefault="00D15F37">
      <w:pPr>
        <w:spacing w:after="60"/>
        <w:ind w:left="431" w:hanging="431"/>
      </w:pPr>
      <w:r>
        <w:rPr>
          <w:sz w:val="16"/>
          <w:szCs w:val="16"/>
        </w:rPr>
        <w:t xml:space="preserve"> [9</w:t>
      </w:r>
      <w:r w:rsidR="00D4374B">
        <w:rPr>
          <w:sz w:val="16"/>
          <w:szCs w:val="16"/>
        </w:rPr>
        <w:t>] M. A. Harahap, M. Hafizh, N. Syafitri, and R. A. N. Putri, “Analisis kesadaran masyarakat Ke</w:t>
      </w:r>
      <w:r w:rsidR="00D4374B">
        <w:rPr>
          <w:sz w:val="16"/>
          <w:szCs w:val="16"/>
        </w:rPr>
        <w:t>camatan Tanjung Pura dalam membayar zakat,” El-Mal: J. Kajian Ekon. Bisnis Islam, vol. 1, no. 1, pp. 265–277, 2020.</w:t>
      </w:r>
    </w:p>
    <w:p w:rsidR="00B46D73" w:rsidRDefault="00D15F37">
      <w:pPr>
        <w:spacing w:after="60"/>
        <w:ind w:left="431" w:hanging="431"/>
      </w:pPr>
      <w:r>
        <w:rPr>
          <w:sz w:val="16"/>
          <w:szCs w:val="16"/>
        </w:rPr>
        <w:t>[10</w:t>
      </w:r>
      <w:r w:rsidR="00D4374B">
        <w:rPr>
          <w:sz w:val="16"/>
          <w:szCs w:val="16"/>
        </w:rPr>
        <w:t>] S. S. Seran, Metodologi Penelitian. Yogyakarta, Indonesia: CV. Budi Utama, 2020.</w:t>
      </w:r>
    </w:p>
    <w:p w:rsidR="00B46D73" w:rsidRDefault="00D15F37">
      <w:pPr>
        <w:spacing w:after="60"/>
        <w:ind w:left="431" w:hanging="431"/>
      </w:pPr>
      <w:r>
        <w:rPr>
          <w:sz w:val="16"/>
          <w:szCs w:val="16"/>
        </w:rPr>
        <w:t>[11</w:t>
      </w:r>
      <w:r w:rsidR="00D4374B">
        <w:rPr>
          <w:sz w:val="16"/>
          <w:szCs w:val="16"/>
        </w:rPr>
        <w:t>] E. Syofyan, Good Corporate Governance. Malang, Indo</w:t>
      </w:r>
      <w:r w:rsidR="00D4374B">
        <w:rPr>
          <w:sz w:val="16"/>
          <w:szCs w:val="16"/>
        </w:rPr>
        <w:t>nesia: Unisma Press, n.d.</w:t>
      </w:r>
    </w:p>
    <w:sectPr w:rsidR="00B46D73">
      <w:headerReference w:type="default" r:id="rId8"/>
      <w:footerReference w:type="default" r:id="rId9"/>
      <w:pgSz w:w="11906" w:h="16838"/>
      <w:pgMar w:top="1411" w:right="1137" w:bottom="1137" w:left="1411"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374B" w:rsidRDefault="00D4374B">
      <w:r>
        <w:separator/>
      </w:r>
    </w:p>
  </w:endnote>
  <w:endnote w:type="continuationSeparator" w:id="0">
    <w:p w:rsidR="00D4374B" w:rsidRDefault="00D4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6D73" w:rsidRDefault="00B46D73">
    <w:pPr>
      <w:pBdr>
        <w:top w:val="single" w:sz="6" w:space="4" w:color="000000"/>
      </w:pBdr>
    </w:pPr>
  </w:p>
  <w:p w:rsidR="00B46D73" w:rsidRDefault="00B46D7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374B" w:rsidRDefault="00D4374B">
      <w:r>
        <w:separator/>
      </w:r>
    </w:p>
  </w:footnote>
  <w:footnote w:type="continuationSeparator" w:id="0">
    <w:p w:rsidR="00D4374B" w:rsidRDefault="00D437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360" w:type="dxa"/>
      <w:tblInd w:w="-1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7000"/>
      <w:gridCol w:w="2360"/>
    </w:tblGrid>
    <w:tr w:rsidR="00B46D73">
      <w:tblPrEx>
        <w:tblCellMar>
          <w:top w:w="0" w:type="dxa"/>
          <w:bottom w:w="0" w:type="dxa"/>
        </w:tblCellMar>
      </w:tblPrEx>
      <w:tc>
        <w:tcPr>
          <w:tcW w:w="7000" w:type="dxa"/>
          <w:tcBorders>
            <w:top w:val="none" w:sz="0" w:space="0" w:color="FFFFFF"/>
            <w:left w:val="none" w:sz="0" w:space="0" w:color="FFFFFF"/>
            <w:bottom w:val="none" w:sz="0" w:space="0" w:color="FFFFFF"/>
            <w:right w:val="none" w:sz="0" w:space="0" w:color="FFFFFF"/>
          </w:tcBorders>
        </w:tcPr>
        <w:p w:rsidR="00B46D73" w:rsidRDefault="00D4374B">
          <w:r>
            <w:rPr>
              <w:b/>
              <w:bCs/>
            </w:rPr>
            <w:t>TANJAK; Jurnal Tinjauan Syariah</w:t>
          </w:r>
        </w:p>
        <w:p w:rsidR="00B46D73" w:rsidRDefault="00D4374B" w:rsidP="000A1E99">
          <w:r>
            <w:t xml:space="preserve">Vol. xx, No. x, </w:t>
          </w:r>
          <w:r w:rsidR="000A1E99">
            <w:t>Desember 2025</w:t>
          </w:r>
        </w:p>
        <w:p w:rsidR="00B46D73" w:rsidRDefault="00D4374B">
          <w:r>
            <w:t>ISSN: xxxx-xxxx, DOI: 10.xxxxx/tanjak.vxxixx.paperID</w:t>
          </w:r>
        </w:p>
      </w:tc>
      <w:tc>
        <w:tcPr>
          <w:tcW w:w="2360" w:type="dxa"/>
          <w:tcBorders>
            <w:top w:val="none" w:sz="0" w:space="0" w:color="FFFFFF"/>
            <w:left w:val="none" w:sz="0" w:space="0" w:color="FFFFFF"/>
            <w:bottom w:val="none" w:sz="0" w:space="0" w:color="FFFFFF"/>
            <w:right w:val="none" w:sz="0" w:space="0" w:color="FFFFFF"/>
          </w:tcBorders>
          <w:vAlign w:val="bottom"/>
        </w:tcPr>
        <w:p w:rsidR="00B46D73" w:rsidRDefault="00D4374B">
          <w:pPr>
            <w:jc w:val="right"/>
          </w:pPr>
          <w:r>
            <w:fldChar w:fldCharType="begin"/>
          </w:r>
          <w:r>
            <w:instrText>PAGE</w:instrText>
          </w:r>
          <w:r w:rsidR="00D15F37">
            <w:fldChar w:fldCharType="separate"/>
          </w:r>
          <w:r w:rsidR="00BB37BE">
            <w:rPr>
              <w:noProof/>
            </w:rPr>
            <w:t>5</w:t>
          </w:r>
          <w:r>
            <w:fldChar w:fldCharType="end"/>
          </w:r>
        </w:p>
      </w:tc>
    </w:tr>
  </w:tbl>
  <w:p w:rsidR="00B46D73" w:rsidRDefault="00B46D73">
    <w:pPr>
      <w:pBdr>
        <w:bottom w:val="single" w:sz="6" w:space="4" w:color="00000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C9D0B61"/>
    <w:multiLevelType w:val="hybridMultilevel"/>
    <w:tmpl w:val="76A40ADA"/>
    <w:lvl w:ilvl="0" w:tplc="B7BE9568">
      <w:start w:val="1"/>
      <w:numFmt w:val="bullet"/>
      <w:lvlText w:val="●"/>
      <w:lvlJc w:val="left"/>
      <w:pPr>
        <w:ind w:left="720" w:hanging="360"/>
      </w:pPr>
    </w:lvl>
    <w:lvl w:ilvl="1" w:tplc="37229BE8">
      <w:start w:val="1"/>
      <w:numFmt w:val="bullet"/>
      <w:lvlText w:val="○"/>
      <w:lvlJc w:val="left"/>
      <w:pPr>
        <w:ind w:left="1440" w:hanging="360"/>
      </w:pPr>
    </w:lvl>
    <w:lvl w:ilvl="2" w:tplc="97E6D0EA">
      <w:start w:val="1"/>
      <w:numFmt w:val="bullet"/>
      <w:lvlText w:val="■"/>
      <w:lvlJc w:val="left"/>
      <w:pPr>
        <w:ind w:left="2160" w:hanging="360"/>
      </w:pPr>
    </w:lvl>
    <w:lvl w:ilvl="3" w:tplc="529235E6">
      <w:start w:val="1"/>
      <w:numFmt w:val="bullet"/>
      <w:lvlText w:val="●"/>
      <w:lvlJc w:val="left"/>
      <w:pPr>
        <w:ind w:left="2880" w:hanging="360"/>
      </w:pPr>
    </w:lvl>
    <w:lvl w:ilvl="4" w:tplc="0F6E3C42">
      <w:start w:val="1"/>
      <w:numFmt w:val="bullet"/>
      <w:lvlText w:val="○"/>
      <w:lvlJc w:val="left"/>
      <w:pPr>
        <w:ind w:left="3600" w:hanging="360"/>
      </w:pPr>
    </w:lvl>
    <w:lvl w:ilvl="5" w:tplc="2C52CCA2">
      <w:start w:val="1"/>
      <w:numFmt w:val="bullet"/>
      <w:lvlText w:val="■"/>
      <w:lvlJc w:val="left"/>
      <w:pPr>
        <w:ind w:left="4320" w:hanging="360"/>
      </w:pPr>
    </w:lvl>
    <w:lvl w:ilvl="6" w:tplc="0BD89C86">
      <w:start w:val="1"/>
      <w:numFmt w:val="bullet"/>
      <w:lvlText w:val="●"/>
      <w:lvlJc w:val="left"/>
      <w:pPr>
        <w:ind w:left="5040" w:hanging="360"/>
      </w:pPr>
    </w:lvl>
    <w:lvl w:ilvl="7" w:tplc="341A122C">
      <w:start w:val="1"/>
      <w:numFmt w:val="bullet"/>
      <w:lvlText w:val="●"/>
      <w:lvlJc w:val="left"/>
      <w:pPr>
        <w:ind w:left="5760" w:hanging="360"/>
      </w:pPr>
    </w:lvl>
    <w:lvl w:ilvl="8" w:tplc="7D080C3A">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6D73"/>
    <w:rsid w:val="000A1E99"/>
    <w:rsid w:val="00B46D73"/>
    <w:rsid w:val="00BB37BE"/>
    <w:rsid w:val="00D15F37"/>
    <w:rsid w:val="00D4374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257235D-3A53-4F51-897C-66A040D07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15F37"/>
    <w:pPr>
      <w:tabs>
        <w:tab w:val="center" w:pos="4680"/>
        <w:tab w:val="right" w:pos="9360"/>
      </w:tabs>
    </w:pPr>
  </w:style>
  <w:style w:type="character" w:customStyle="1" w:styleId="HeaderChar">
    <w:name w:val="Header Char"/>
    <w:basedOn w:val="DefaultParagraphFont"/>
    <w:link w:val="Header"/>
    <w:uiPriority w:val="99"/>
    <w:rsid w:val="00D15F37"/>
  </w:style>
  <w:style w:type="paragraph" w:styleId="Footer">
    <w:name w:val="footer"/>
    <w:basedOn w:val="Normal"/>
    <w:link w:val="FooterChar"/>
    <w:uiPriority w:val="99"/>
    <w:unhideWhenUsed/>
    <w:rsid w:val="00D15F37"/>
    <w:pPr>
      <w:tabs>
        <w:tab w:val="center" w:pos="4680"/>
        <w:tab w:val="right" w:pos="9360"/>
      </w:tabs>
    </w:pPr>
  </w:style>
  <w:style w:type="character" w:customStyle="1" w:styleId="FooterChar">
    <w:name w:val="Footer Char"/>
    <w:basedOn w:val="DefaultParagraphFont"/>
    <w:link w:val="Footer"/>
    <w:uiPriority w:val="99"/>
    <w:rsid w:val="00D15F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creativecommons.org/licenses/by-sa/4.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2939</Words>
  <Characters>16753</Characters>
  <Application>Microsoft Office Word</Application>
  <DocSecurity>0</DocSecurity>
  <Lines>139</Lines>
  <Paragraphs>39</Paragraphs>
  <ScaleCrop>false</ScaleCrop>
  <Company/>
  <LinksUpToDate>false</LinksUpToDate>
  <CharactersWithSpaces>19653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Microsoft account</cp:lastModifiedBy>
  <cp:revision>4</cp:revision>
  <dcterms:created xsi:type="dcterms:W3CDTF">2026-09-15T03:34:00Z</dcterms:created>
  <dcterms:modified xsi:type="dcterms:W3CDTF">2026-09-15T03:43:00Z</dcterms:modified>
</cp:coreProperties>
</file>