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F59" w:rsidRDefault="00EC770C">
      <w:pPr>
        <w:spacing w:after="200"/>
        <w:jc w:val="center"/>
      </w:pPr>
      <w:r>
        <w:rPr>
          <w:b/>
          <w:bCs/>
          <w:sz w:val="32"/>
          <w:szCs w:val="32"/>
        </w:rPr>
        <w:t>Pengaruh Pendapatan Asli Daerah, Dana Perimbangan, dan Belanja Daerah terhadap Kinerja Keuangan Daerah di Provinsi Riau dalam Perspektif Syariah</w:t>
      </w:r>
    </w:p>
    <w:p w:rsidR="00864F59" w:rsidRPr="00974195" w:rsidRDefault="00EC770C">
      <w:pPr>
        <w:jc w:val="center"/>
        <w:rPr>
          <w:b/>
          <w:bCs/>
        </w:rPr>
      </w:pPr>
      <w:r w:rsidRPr="00974195">
        <w:rPr>
          <w:b/>
          <w:bCs/>
        </w:rPr>
        <w:t>Putiha Nuro</w:t>
      </w:r>
      <w:r w:rsidR="00974195" w:rsidRPr="00974195">
        <w:rPr>
          <w:b/>
          <w:bCs/>
          <w:vertAlign w:val="superscript"/>
        </w:rPr>
        <w:t>1</w:t>
      </w:r>
    </w:p>
    <w:p w:rsidR="00864F59" w:rsidRDefault="00EC770C">
      <w:pPr>
        <w:jc w:val="center"/>
      </w:pPr>
      <w:r>
        <w:rPr>
          <w:sz w:val="16"/>
          <w:szCs w:val="16"/>
        </w:rPr>
        <w:t>Program Studi Akuntansi Syariah, Jurusan Syariah dan Ekonomi Islam</w:t>
      </w:r>
    </w:p>
    <w:p w:rsidR="00864F59" w:rsidRDefault="00EC770C">
      <w:pPr>
        <w:spacing w:after="200"/>
        <w:jc w:val="center"/>
      </w:pPr>
      <w:r>
        <w:rPr>
          <w:sz w:val="16"/>
          <w:szCs w:val="16"/>
        </w:rPr>
        <w:t>Institut Agama Islam Negeri (IAIN) Datuk Laksamana Bengkalis, Indonesia</w:t>
      </w:r>
    </w:p>
    <w:tbl>
      <w:tblPr>
        <w:tblW w:w="9360" w:type="dxa"/>
        <w:tblInd w:w="-10" w:type="dxa"/>
        <w:tblBorders>
          <w:top w:val="single" w:sz="4" w:space="0" w:color="auto"/>
        </w:tblBorders>
        <w:tblCellMar>
          <w:left w:w="10" w:type="dxa"/>
          <w:right w:w="10" w:type="dxa"/>
        </w:tblCellMar>
        <w:tblLook w:val="04A0" w:firstRow="1" w:lastRow="0" w:firstColumn="1" w:lastColumn="0" w:noHBand="0" w:noVBand="1"/>
      </w:tblPr>
      <w:tblGrid>
        <w:gridCol w:w="2800"/>
        <w:gridCol w:w="6560"/>
      </w:tblGrid>
      <w:tr w:rsidR="00864F59" w:rsidTr="00974195">
        <w:tc>
          <w:tcPr>
            <w:tcW w:w="2800" w:type="dxa"/>
          </w:tcPr>
          <w:p w:rsidR="00864F59" w:rsidRDefault="00EC770C">
            <w:pPr>
              <w:spacing w:after="200"/>
            </w:pPr>
            <w:r>
              <w:rPr>
                <w:b/>
                <w:bCs/>
                <w:i/>
                <w:iCs/>
              </w:rPr>
              <w:t>Article Info</w:t>
            </w:r>
          </w:p>
          <w:p w:rsidR="00864F59" w:rsidRDefault="00EC770C">
            <w:r>
              <w:rPr>
                <w:b/>
                <w:bCs/>
                <w:i/>
                <w:iCs/>
              </w:rPr>
              <w:t>Article history:</w:t>
            </w:r>
          </w:p>
          <w:p w:rsidR="00974195" w:rsidRDefault="00974195"/>
          <w:p w:rsidR="00974195" w:rsidRDefault="00974195"/>
          <w:p w:rsidR="00974195" w:rsidRDefault="00974195"/>
          <w:p w:rsidR="00974195" w:rsidRDefault="00974195"/>
          <w:p w:rsidR="00864F59" w:rsidRDefault="00EC770C">
            <w:r>
              <w:rPr>
                <w:b/>
                <w:bCs/>
                <w:i/>
                <w:iCs/>
              </w:rPr>
              <w:t>Keywords:</w:t>
            </w:r>
          </w:p>
          <w:p w:rsidR="00864F59" w:rsidRDefault="00EC770C">
            <w:r>
              <w:t>Pendapatan Asli Daerah</w:t>
            </w:r>
          </w:p>
          <w:p w:rsidR="00864F59" w:rsidRDefault="00EC770C">
            <w:r>
              <w:t>Dana Perimbangan</w:t>
            </w:r>
          </w:p>
          <w:p w:rsidR="00864F59" w:rsidRDefault="00EC770C">
            <w:r>
              <w:t>Belanja Daerah</w:t>
            </w:r>
          </w:p>
          <w:p w:rsidR="00864F59" w:rsidRDefault="00EC770C">
            <w:r>
              <w:t>Kinerja Keuangan Daerah</w:t>
            </w:r>
          </w:p>
          <w:p w:rsidR="00864F59" w:rsidRDefault="00EC770C">
            <w:r>
              <w:t>Perspektif Syariah</w:t>
            </w:r>
          </w:p>
        </w:tc>
        <w:tc>
          <w:tcPr>
            <w:tcW w:w="6560" w:type="dxa"/>
          </w:tcPr>
          <w:p w:rsidR="00864F59" w:rsidRDefault="00EC770C" w:rsidP="00143F02">
            <w:pPr>
              <w:spacing w:after="100"/>
            </w:pPr>
            <w:r>
              <w:rPr>
                <w:b/>
                <w:bCs/>
              </w:rPr>
              <w:t xml:space="preserve">ABSTRAK </w:t>
            </w:r>
          </w:p>
          <w:p w:rsidR="00864F59" w:rsidRDefault="00EC770C">
            <w:pPr>
              <w:spacing w:after="200"/>
              <w:jc w:val="both"/>
            </w:pPr>
            <w:r>
              <w:t xml:space="preserve">Penelitian ini bertujuan untuk menganalisis pengaruh Pendapatan Asli Daerah (PAD), Dana Perimbangan, dan Belanja Daerah terhadap Kinerja Keuangan Daerah kabupaten/kota di Provinsi Riau dalam perspektif syariah. Penelitian menggunakan pendekatan kuantitatif kausalitas dengan data sekunder berupa Laporan Realisasi Anggaran (LRA) 12 kabupaten/kota di Provinsi Riau periode 2020–2024. Teknik analisis yang digunakan adalah regresi data panel dengan bantuan EViews 13. Berdasarkan </w:t>
            </w:r>
            <w:bookmarkStart w:id="0" w:name="_GoBack"/>
            <w:bookmarkEnd w:id="0"/>
            <w:r>
              <w:t>hasil uji Chow dan Hausman, model Fixed Effect Model (FEM) dipilih sebagai model terbaik. Hasil uji t menunjukkan bahwa PAD berpengaruh signifikan negatif terhadap kinerja keuangan daerah (t-stat = –2</w:t>
            </w:r>
            <w:proofErr w:type="gramStart"/>
            <w:r>
              <w:t>,671696</w:t>
            </w:r>
            <w:proofErr w:type="gramEnd"/>
            <w:r>
              <w:t>; sig. = 0,0105), Dana Perimbangan berpengaruh signifikan negatif (t-stat = –3,353686; sig. = 0,0016), dan Belanja Daerah berpengaruh signifikan positif (t-stat = 10,39970; sig. = 0,0000). Secara simultan, ketiga variabel berpengaruh signifikan (F-stat = 14</w:t>
            </w:r>
            <w:proofErr w:type="gramStart"/>
            <w:r>
              <w:t>,72343</w:t>
            </w:r>
            <w:proofErr w:type="gramEnd"/>
            <w:r>
              <w:t>; prob. = 0,000000) dengan nilai R² = 0,8208, yang berarti 82,08% variasi kinerja keuangan daerah dapat dijelaskan oleh model ini. Dalam perspektif syariah, pengelolaan keuangan daerah harus dilandasi prinsip amanah, keadilan, transparansi, akuntabilitas, dan kemaslahatan sesuai nilai-nilai maqashid syariah, khususnya hifzh al-mal dan hifzh al-nafs.</w:t>
            </w:r>
          </w:p>
          <w:p w:rsidR="00864F59" w:rsidRDefault="00EC770C">
            <w:r>
              <w:rPr>
                <w:i/>
                <w:iCs/>
              </w:rPr>
              <w:t xml:space="preserve">Ini adalah artikel akses terbuka di bawah lisensi </w:t>
            </w:r>
            <w:hyperlink r:id="rId7" w:history="1">
              <w:r>
                <w:rPr>
                  <w:i/>
                  <w:iCs/>
                  <w:color w:val="0000FF"/>
                  <w:u w:val="single"/>
                </w:rPr>
                <w:t>CC BY-SA</w:t>
              </w:r>
            </w:hyperlink>
            <w:r>
              <w:rPr>
                <w:i/>
                <w:iCs/>
              </w:rPr>
              <w:t>.</w:t>
            </w:r>
          </w:p>
        </w:tc>
      </w:tr>
    </w:tbl>
    <w:p w:rsidR="00864F59" w:rsidRDefault="00864F59">
      <w:pPr>
        <w:pBdr>
          <w:bottom w:val="single" w:sz="6" w:space="4" w:color="000000"/>
        </w:pBdr>
        <w:spacing w:before="200" w:after="150"/>
      </w:pPr>
    </w:p>
    <w:p w:rsidR="00864F59" w:rsidRDefault="00EC770C">
      <w:r>
        <w:rPr>
          <w:b/>
          <w:bCs/>
          <w:i/>
          <w:iCs/>
        </w:rPr>
        <w:t>Corresponding Author:</w:t>
      </w:r>
    </w:p>
    <w:p w:rsidR="00864F59" w:rsidRDefault="00EC770C">
      <w:pPr>
        <w:spacing w:before="100"/>
      </w:pPr>
      <w:r>
        <w:t>Putiha Nuro</w:t>
      </w:r>
    </w:p>
    <w:p w:rsidR="00864F59" w:rsidRDefault="00EC770C" w:rsidP="00974195">
      <w:r>
        <w:rPr>
          <w:b/>
          <w:bCs/>
        </w:rPr>
        <w:t>Program Studi Akuntansi Syariah, Jurusan Syariah dan Ekonomi Islam</w:t>
      </w:r>
      <w:r w:rsidR="00974195">
        <w:t xml:space="preserve">, </w:t>
      </w:r>
      <w:r>
        <w:rPr>
          <w:b/>
          <w:bCs/>
        </w:rPr>
        <w:t>Institut Agama Islam Negeri (IAIN) Datuk Laksamana Bengkalis</w:t>
      </w:r>
    </w:p>
    <w:p w:rsidR="00864F59" w:rsidRDefault="00EC770C">
      <w:r>
        <w:t>Email: putihanuro@gmail.com</w:t>
      </w:r>
    </w:p>
    <w:p w:rsidR="00864F59" w:rsidRDefault="00864F59">
      <w:pPr>
        <w:pBdr>
          <w:bottom w:val="single" w:sz="6" w:space="4" w:color="000000"/>
        </w:pBdr>
        <w:spacing w:before="150" w:after="200"/>
      </w:pPr>
    </w:p>
    <w:p w:rsidR="00864F59" w:rsidRDefault="00BB5B66" w:rsidP="00BB5B66">
      <w:pPr>
        <w:spacing w:before="200" w:after="100"/>
      </w:pPr>
      <w:r>
        <w:rPr>
          <w:b/>
          <w:bCs/>
          <w:color w:val="000000"/>
        </w:rPr>
        <w:t xml:space="preserve">1. PENDAHULUAN </w:t>
      </w:r>
    </w:p>
    <w:p w:rsidR="00864F59" w:rsidRDefault="00EC770C">
      <w:pPr>
        <w:spacing w:after="100"/>
        <w:ind w:firstLine="431"/>
        <w:jc w:val="both"/>
      </w:pPr>
      <w:r>
        <w:t>Kebijakan otonomi daerah di Indonesia sejak diberlakukannya Undang-Undang Nomor 23 Tahun 2014 memberikan kewenangan luas kepada pemerintah daerah untuk mengatur dan mengurus rumah tangganya sendiri [1]. Otonomi daerah dimaksudkan untuk mempercepat pembangunan, mendekatkan pelayanan publik kepada masyarakat, serta mengurangi ketergantungan daerah terhadap pemerintah pusat. Dalam konteks ini, kinerja keuangan daerah menjadi salah satu indikator utama keberhasilan pelaksanaan otonomi, yang diukur melalui kemampuan pemerintah dalam merencanakan, melaksanakan, dan mempertanggungjawabkan pengelolaan anggaran secara efektif, efisien, transparan, dan akuntabel.</w:t>
      </w:r>
    </w:p>
    <w:p w:rsidR="00864F59" w:rsidRDefault="00EC770C">
      <w:pPr>
        <w:spacing w:after="100"/>
        <w:ind w:firstLine="431"/>
        <w:jc w:val="both"/>
      </w:pPr>
      <w:r>
        <w:t>Tiga variabel fiskal yang paling banyak dikaji dalam konteks kinerja keuangan daerah adalah Pendapatan Asli Daerah (PAD), Dana Perimbangan, dan Belanja Daerah. PAD merupakan cerminan kemampuan daerah dalam membiayai kebutuhan pemerintahannya secara mandiri, sedangkan Dana Perimbangan merupakan transfer fiskal dari pemerintah pusat untuk mengurangi kesenjangan fiskal antardaerah. Adapun Belanja Daerah mencerminkan kemampuan pemerintah dalam mengelola dan mengalokasikan anggaran secara efektif untuk mendukung pembangunan dan pelayanan publik.</w:t>
      </w:r>
    </w:p>
    <w:p w:rsidR="00864F59" w:rsidRDefault="00EC770C">
      <w:pPr>
        <w:spacing w:after="100"/>
        <w:ind w:firstLine="431"/>
        <w:jc w:val="both"/>
      </w:pPr>
      <w:r>
        <w:t xml:space="preserve">Data Laporan Realisasi Anggaran (LRA) 12 kabupaten/kota di Provinsi Riau periode 2020–2024 menunjukkan adanya fenomena fluktuasi PAD, Dana Perimbangan, Belanja Daerah, dan Kinerja Keuangan Pemerintah Daerah (KKPD) yang tidak selalu berjalan searah. Kabupaten Rokan Hilir misalnya mengalami peningkatan PAD dari Rp109,78 miliar pada 2020 menjadi Rp454,20 miliar pada 2024, namun nilai KKPD justru tetap berada di atas 100% </w:t>
      </w:r>
      <w:r>
        <w:lastRenderedPageBreak/>
        <w:t>(139,14% pada 2020 dan 146,79% pada 2024), yang menunjukkan tingkat efisiensi yang belum optimal. Fenomena serupa terjadi pada Kabupaten Indragiri Hilir yang mengalami peningkatan PAD dari Rp181 miliar pada 2020 menjadi Rp411,66 miliar pada 2024, sementara KKPD meningkat drastis dari 98,95% menjadi 175,76%. Kondisi ini menunjukkan adanya research gap antara teori dan realitas empiris.</w:t>
      </w:r>
    </w:p>
    <w:p w:rsidR="00864F59" w:rsidRDefault="00EC770C">
      <w:pPr>
        <w:spacing w:after="100"/>
        <w:ind w:firstLine="431"/>
        <w:jc w:val="both"/>
      </w:pPr>
      <w:r>
        <w:t>Selain ditinjau dari aspek ekonomi dan administratif, penelitian ini juga mengkaji pengelolaan keuangan daerah dari perspektif syariah. Dalam Islam, pengelolaan harta publik merupakan amanah yang harus dilaksanakan berdasarkan prinsip keadilan, transparansi, dan kemaslahatan. Hal ini sejalan dengan firman Allah SWT dalam QS. Al-Hasyr: 7 yang menegaskan bahwa harta tidak boleh hanya beredar di kalangan orang-orang kaya, melainkan harus memberikan manfaat bagi seluruh lapisan masyarakat [2]. Kajian yang mengintegrasikan pengelolaan keuangan daerah dengan perspektif syariah masih relatif terbatas, sehingga penelitian ini diharapkan dapat mengisi celah tersebut.</w:t>
      </w:r>
    </w:p>
    <w:p w:rsidR="00864F59" w:rsidRDefault="00EC770C">
      <w:pPr>
        <w:spacing w:after="100"/>
        <w:ind w:firstLine="431"/>
        <w:jc w:val="both"/>
      </w:pPr>
      <w:r>
        <w:t>Terdapat perbedaan hasil pada penelitian terdahulu mengenai hubungan antara PAD, Dana Perimbangan, dan Belanja Daerah dengan kinerja keuangan daerah. Jeni Wardi menemukan bahwa PAD dan Dana Perimbangan berpengaruh positif dan signifikan terhadap kinerja keuangan daerah [3], sedangkan Nova Rustiyani dan Irene Sukma Lestari Barus justru menemukan bahwa PAD tidak berpengaruh signifikan [4]. Syifa Hanida dan Wawan Ichwanudin bahkan menemukan bahwa PAD berpengaruh negatif dan signifikan [5]. Perbedaan temuan ini menunjukkan perlunya penelitian lebih lanjut, khususnya di Provinsi Riau yang memiliki karakteristik fiskal yang unik sebagai salah satu daerah penghasil sumber daya alam terbesar di Indonesia.</w:t>
      </w:r>
    </w:p>
    <w:p w:rsidR="00864F59" w:rsidRDefault="00663ED4" w:rsidP="00663ED4">
      <w:pPr>
        <w:spacing w:before="200" w:after="100"/>
      </w:pPr>
      <w:r>
        <w:rPr>
          <w:b/>
          <w:bCs/>
          <w:color w:val="000000"/>
        </w:rPr>
        <w:t>2. METODELOGI</w:t>
      </w:r>
    </w:p>
    <w:p w:rsidR="00864F59" w:rsidRDefault="00EC770C">
      <w:pPr>
        <w:spacing w:after="100"/>
        <w:ind w:firstLine="431"/>
        <w:jc w:val="both"/>
      </w:pPr>
      <w:r>
        <w:t>Penelitian ini menggunakan pendekatan kuantitatif dengan jenis penelitian kausalitas. Data yang digunakan merupakan data sekunder berupa Laporan Realisasi Anggaran (LRA) 12 kabupaten/kota di Provinsi Riau yang diperoleh dari website Direktorat Jenderal Perimbangan Keuangan (www.djpk.depkeu.go.id) selama periode 2020–2024, sehingga jumlah observasi sebanyak 60 data (12 kabupaten/kota × 5 tahun). Dua belas kabupaten/kota tersebut adalah Bengkalis, Indragiri Hilir, Indragiri Hulu, Kampar, Kuantan Singingi, Pelalawan, Rokan Hilir, Rokan Hulu, Siak, Kota Dumai, Kota Pekanbaru, dan Kepulauan Meranti.</w:t>
      </w:r>
    </w:p>
    <w:p w:rsidR="00864F59" w:rsidRDefault="00EC770C">
      <w:pPr>
        <w:spacing w:after="100"/>
        <w:ind w:firstLine="431"/>
        <w:jc w:val="both"/>
      </w:pPr>
      <w:r>
        <w:t>Variabel dependen dalam penelitian ini adalah Kinerja Keuangan Pemerintah Daerah (KKPD) yang diukur menggunakan rasio efisiensi, yaitu perbandingan antara realisasi belanja terhadap realisasi pendapatan daerah. Variabel independen terdiri dari: (1) Pendapatan Asli Daerah (PAD) yang diukur dari total realisasi PAD dalam miliar rupiah; (2) Dana Perimbangan (DP) yang diukur dari total realisasi dana perimbangan dalam miliar rupiah; dan (3) Belanja Daerah (BD) yang diukur dari total realisasi belanja daerah dalam miliar rupiah.</w:t>
      </w:r>
    </w:p>
    <w:p w:rsidR="00864F59" w:rsidRDefault="00EC770C">
      <w:pPr>
        <w:spacing w:after="100"/>
        <w:ind w:firstLine="431"/>
        <w:jc w:val="both"/>
      </w:pPr>
      <w:r>
        <w:t>Teknik analisis data yang digunakan adalah regresi data panel dengan bantuan program EViews 13. Pengujian dimulai dengan pemilihan model estimasi melalui Uji Chow (membandingkan Common Effect Model dan Fixed Effect Model) dan Uji Hausman (membandingkan Fixed Effect Model dan Random Effect Model). Selanjutnya dilakukan uji asumsi klasik yang relevan untuk data panel, yaitu uji multikolinearitas dan uji heteroskedastisitas. Pengujian hipotesis dilakukan melalui uji t (parsial), uji F (simultan), dan koefisien determinasi (R²) dengan tingkat signifikansi 5%.</w:t>
      </w:r>
    </w:p>
    <w:p w:rsidR="00864F59" w:rsidRDefault="00EC770C" w:rsidP="0090599E">
      <w:pPr>
        <w:spacing w:before="200" w:after="100"/>
      </w:pPr>
      <w:r>
        <w:rPr>
          <w:b/>
          <w:bCs/>
          <w:color w:val="000000"/>
        </w:rPr>
        <w:t xml:space="preserve">3. HASIL DAN PEMBAHASAN </w:t>
      </w:r>
    </w:p>
    <w:p w:rsidR="00864F59" w:rsidRDefault="00EC770C">
      <w:pPr>
        <w:spacing w:before="150" w:after="100"/>
      </w:pPr>
      <w:r>
        <w:rPr>
          <w:b/>
          <w:bCs/>
          <w:color w:val="000000"/>
        </w:rPr>
        <w:t>3.1. Pemilihan Model Regresi Data Panel</w:t>
      </w:r>
    </w:p>
    <w:p w:rsidR="00864F59" w:rsidRDefault="00EC770C">
      <w:pPr>
        <w:spacing w:after="100"/>
        <w:ind w:firstLine="431"/>
        <w:jc w:val="both"/>
      </w:pPr>
      <w:r>
        <w:t>Berdasarkan hasil Uji Chow, diperoleh nilai probabilitas Chi-square sebesar 0</w:t>
      </w:r>
      <w:proofErr w:type="gramStart"/>
      <w:r>
        <w:t>,0000</w:t>
      </w:r>
      <w:proofErr w:type="gramEnd"/>
      <w:r>
        <w:t xml:space="preserve"> (&lt; 0,05), sehingga H0 ditolak dan Fixed Effect Model (FEM) lebih tepat dibandingkan Common Effect Model (CEM). Selanjutnya, hasil Uji Hausman juga menunjukkan nilai probabilitas sebesar 0</w:t>
      </w:r>
      <w:proofErr w:type="gramStart"/>
      <w:r>
        <w:t>,0000</w:t>
      </w:r>
      <w:proofErr w:type="gramEnd"/>
      <w:r>
        <w:t xml:space="preserve"> (&lt; 0,05), sehingga Fixed Effect Model (FEM) dipilih sebagai model estimasi terbaik dalam penelitian ini.</w:t>
      </w:r>
    </w:p>
    <w:p w:rsidR="00864F59" w:rsidRDefault="00EC770C">
      <w:pPr>
        <w:spacing w:before="150" w:after="100"/>
      </w:pPr>
      <w:r>
        <w:rPr>
          <w:b/>
          <w:bCs/>
          <w:color w:val="000000"/>
        </w:rPr>
        <w:t>3.2. Uji Asumsi Klasik</w:t>
      </w:r>
    </w:p>
    <w:p w:rsidR="00864F59" w:rsidRDefault="00EC770C">
      <w:pPr>
        <w:spacing w:after="100"/>
        <w:ind w:firstLine="431"/>
        <w:jc w:val="both"/>
      </w:pPr>
      <w:r>
        <w:t>Hasil uji multikolinearitas menunjukkan bahwa seluruh variabel independen memiliki nilai Centered VIF kurang dari 10, sehingga tidak terjadi multikolinearitas dalam model. Hasil uji heteroskedastisitas menggunakan metode Glejser menunjukkan bahwa nilai probabilitas masing-masing variabel independen adalah X1 (PAD) = 0</w:t>
      </w:r>
      <w:proofErr w:type="gramStart"/>
      <w:r>
        <w:t>,6572</w:t>
      </w:r>
      <w:proofErr w:type="gramEnd"/>
      <w:r>
        <w:t>; X2 (Dana Perimbangan) = 0,6646; dan X3 (Belanja Daerah) = 0,3554. Seluruh nilai probabilitas tersebut lebih besar dari 0</w:t>
      </w:r>
      <w:proofErr w:type="gramStart"/>
      <w:r>
        <w:t>,05</w:t>
      </w:r>
      <w:proofErr w:type="gramEnd"/>
      <w:r>
        <w:t>, sehingga model regresi tidak mengalami heteroskedastisitas dan layak digunakan untuk analisis lebih lanjut.</w:t>
      </w:r>
    </w:p>
    <w:p w:rsidR="00864F59" w:rsidRDefault="00EC770C">
      <w:pPr>
        <w:spacing w:before="150" w:after="100"/>
      </w:pPr>
      <w:r>
        <w:rPr>
          <w:b/>
          <w:bCs/>
          <w:color w:val="000000"/>
        </w:rPr>
        <w:t>3.3. Analisis Regresi Data Panel</w:t>
      </w:r>
    </w:p>
    <w:p w:rsidR="00864F59" w:rsidRDefault="00EC770C">
      <w:pPr>
        <w:spacing w:after="100"/>
        <w:ind w:firstLine="431"/>
        <w:jc w:val="both"/>
      </w:pPr>
      <w:r>
        <w:t>Berdasarkan hasil regresi data panel dengan Fixed Effect Model, diperoleh persamaan regresi sebagai berikut:</w:t>
      </w:r>
    </w:p>
    <w:p w:rsidR="00864F59" w:rsidRDefault="00EC770C">
      <w:pPr>
        <w:spacing w:before="100" w:after="150"/>
        <w:jc w:val="center"/>
      </w:pPr>
      <w:r>
        <w:rPr>
          <w:i/>
          <w:iCs/>
        </w:rPr>
        <w:t>KKPD = −488</w:t>
      </w:r>
      <w:proofErr w:type="gramStart"/>
      <w:r>
        <w:rPr>
          <w:i/>
          <w:iCs/>
        </w:rPr>
        <w:t>,6388</w:t>
      </w:r>
      <w:proofErr w:type="gramEnd"/>
      <w:r>
        <w:rPr>
          <w:i/>
          <w:iCs/>
        </w:rPr>
        <w:t xml:space="preserve"> − 6,6613 (PAD) − 17,5093 (DP) + 100,1332 (BD)</w:t>
      </w:r>
    </w:p>
    <w:p w:rsidR="00864F59" w:rsidRDefault="00EC770C">
      <w:pPr>
        <w:spacing w:after="100"/>
        <w:ind w:firstLine="431"/>
        <w:jc w:val="both"/>
      </w:pPr>
      <w:r>
        <w:lastRenderedPageBreak/>
        <w:t>Nilai konstanta sebesar -488</w:t>
      </w:r>
      <w:proofErr w:type="gramStart"/>
      <w:r>
        <w:t>,6388</w:t>
      </w:r>
      <w:proofErr w:type="gramEnd"/>
      <w:r>
        <w:t xml:space="preserve"> menunjukkan bahwa apabila seluruh variabel independen bernilai nol, maka kinerja keuangan daerah akan bernilai negatif. Koefisien regresi PAD sebesar -6</w:t>
      </w:r>
      <w:proofErr w:type="gramStart"/>
      <w:r>
        <w:t>,6613</w:t>
      </w:r>
      <w:proofErr w:type="gramEnd"/>
      <w:r>
        <w:t xml:space="preserve"> menunjukkan arah negatif, artinya setiap peningkatan PAD satu satuan akan menurunkan kinerja keuangan daerah sebesar 6,6613 satuan. Koefisien regresi Dana Perimbangan sebesar -17,5093 juga bernilai negatif, sementara koefisien Belanja Daerah bernilai positif sebesar 100,1332, artinya setiap peningkatan Belanja Daerah satu satuan akan meningkatkan kinerja keuangan daerah sebesar 100,1332 satuan.</w:t>
      </w:r>
    </w:p>
    <w:p w:rsidR="00864F59" w:rsidRDefault="00EC770C">
      <w:pPr>
        <w:spacing w:before="150" w:after="100"/>
      </w:pPr>
      <w:r>
        <w:rPr>
          <w:b/>
          <w:bCs/>
          <w:color w:val="000000"/>
        </w:rPr>
        <w:t>3.4. Uji Hipotesis</w:t>
      </w:r>
    </w:p>
    <w:p w:rsidR="00864F59" w:rsidRDefault="00EC770C">
      <w:pPr>
        <w:spacing w:before="150" w:after="80"/>
        <w:jc w:val="center"/>
      </w:pPr>
      <w:r>
        <w:rPr>
          <w:b/>
          <w:bCs/>
        </w:rPr>
        <w:t>Tabel 1. Hasil Uji t (Parsial) dan Uji F (Simultan)</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60"/>
        <w:gridCol w:w="2000"/>
        <w:gridCol w:w="2200"/>
        <w:gridCol w:w="1600"/>
      </w:tblGrid>
      <w:tr w:rsidR="00864F59">
        <w:tc>
          <w:tcPr>
            <w:tcW w:w="3560" w:type="dxa"/>
            <w:tcBorders>
              <w:top w:val="single" w:sz="4" w:space="0" w:color="000000"/>
              <w:left w:val="none" w:sz="0" w:space="0" w:color="FFFFFF"/>
              <w:bottom w:val="single" w:sz="4" w:space="0" w:color="000000"/>
              <w:right w:val="none" w:sz="0" w:space="0" w:color="FFFFFF"/>
            </w:tcBorders>
            <w:shd w:val="clear" w:color="auto" w:fill="D9D9D9"/>
          </w:tcPr>
          <w:p w:rsidR="00864F59" w:rsidRDefault="00EC770C">
            <w:r>
              <w:rPr>
                <w:b/>
                <w:bCs/>
                <w:sz w:val="18"/>
                <w:szCs w:val="18"/>
              </w:rPr>
              <w:t>Variabel</w:t>
            </w:r>
          </w:p>
        </w:tc>
        <w:tc>
          <w:tcPr>
            <w:tcW w:w="2000" w:type="dxa"/>
            <w:tcBorders>
              <w:top w:val="single" w:sz="4" w:space="0" w:color="000000"/>
              <w:left w:val="none" w:sz="0" w:space="0" w:color="FFFFFF"/>
              <w:bottom w:val="single" w:sz="4" w:space="0" w:color="000000"/>
              <w:right w:val="none" w:sz="0" w:space="0" w:color="FFFFFF"/>
            </w:tcBorders>
            <w:shd w:val="clear" w:color="auto" w:fill="D9D9D9"/>
          </w:tcPr>
          <w:p w:rsidR="00864F59" w:rsidRDefault="00EC770C">
            <w:pPr>
              <w:jc w:val="center"/>
            </w:pPr>
            <w:r>
              <w:rPr>
                <w:b/>
                <w:bCs/>
                <w:sz w:val="18"/>
                <w:szCs w:val="18"/>
              </w:rPr>
              <w:t>Koefisien</w:t>
            </w:r>
          </w:p>
        </w:tc>
        <w:tc>
          <w:tcPr>
            <w:tcW w:w="2200" w:type="dxa"/>
            <w:tcBorders>
              <w:top w:val="single" w:sz="4" w:space="0" w:color="000000"/>
              <w:left w:val="none" w:sz="0" w:space="0" w:color="FFFFFF"/>
              <w:bottom w:val="single" w:sz="4" w:space="0" w:color="000000"/>
              <w:right w:val="none" w:sz="0" w:space="0" w:color="FFFFFF"/>
            </w:tcBorders>
            <w:shd w:val="clear" w:color="auto" w:fill="D9D9D9"/>
          </w:tcPr>
          <w:p w:rsidR="00864F59" w:rsidRDefault="00EC770C">
            <w:pPr>
              <w:jc w:val="center"/>
            </w:pPr>
            <w:r>
              <w:rPr>
                <w:b/>
                <w:bCs/>
                <w:sz w:val="18"/>
                <w:szCs w:val="18"/>
              </w:rPr>
              <w:t>t-Statistik</w:t>
            </w:r>
          </w:p>
        </w:tc>
        <w:tc>
          <w:tcPr>
            <w:tcW w:w="1600" w:type="dxa"/>
            <w:tcBorders>
              <w:top w:val="single" w:sz="4" w:space="0" w:color="000000"/>
              <w:left w:val="none" w:sz="0" w:space="0" w:color="FFFFFF"/>
              <w:bottom w:val="single" w:sz="4" w:space="0" w:color="000000"/>
              <w:right w:val="none" w:sz="0" w:space="0" w:color="FFFFFF"/>
            </w:tcBorders>
            <w:shd w:val="clear" w:color="auto" w:fill="D9D9D9"/>
          </w:tcPr>
          <w:p w:rsidR="00864F59" w:rsidRDefault="00EC770C">
            <w:pPr>
              <w:jc w:val="center"/>
            </w:pPr>
            <w:r>
              <w:rPr>
                <w:b/>
                <w:bCs/>
                <w:sz w:val="18"/>
                <w:szCs w:val="18"/>
              </w:rPr>
              <w:t>Sig.</w:t>
            </w:r>
          </w:p>
        </w:tc>
      </w:tr>
      <w:tr w:rsidR="00864F59">
        <w:tc>
          <w:tcPr>
            <w:tcW w:w="3560" w:type="dxa"/>
            <w:tcBorders>
              <w:top w:val="single" w:sz="4" w:space="0" w:color="000000"/>
              <w:left w:val="none" w:sz="0" w:space="0" w:color="FFFFFF"/>
              <w:bottom w:val="single" w:sz="4" w:space="0" w:color="000000"/>
              <w:right w:val="none" w:sz="0" w:space="0" w:color="FFFFFF"/>
            </w:tcBorders>
          </w:tcPr>
          <w:p w:rsidR="00864F59" w:rsidRDefault="00EC770C">
            <w:r>
              <w:rPr>
                <w:sz w:val="18"/>
                <w:szCs w:val="18"/>
              </w:rPr>
              <w:t>Pendapatan Asli Daerah (PAD)</w:t>
            </w:r>
          </w:p>
        </w:tc>
        <w:tc>
          <w:tcPr>
            <w:tcW w:w="20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-6,6613</w:t>
            </w:r>
          </w:p>
        </w:tc>
        <w:tc>
          <w:tcPr>
            <w:tcW w:w="22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-2,671696</w:t>
            </w:r>
          </w:p>
        </w:tc>
        <w:tc>
          <w:tcPr>
            <w:tcW w:w="16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0,0105</w:t>
            </w:r>
          </w:p>
        </w:tc>
      </w:tr>
      <w:tr w:rsidR="00864F59">
        <w:tc>
          <w:tcPr>
            <w:tcW w:w="3560" w:type="dxa"/>
            <w:tcBorders>
              <w:top w:val="single" w:sz="4" w:space="0" w:color="000000"/>
              <w:left w:val="none" w:sz="0" w:space="0" w:color="FFFFFF"/>
              <w:bottom w:val="single" w:sz="4" w:space="0" w:color="000000"/>
              <w:right w:val="none" w:sz="0" w:space="0" w:color="FFFFFF"/>
            </w:tcBorders>
          </w:tcPr>
          <w:p w:rsidR="00864F59" w:rsidRDefault="00EC770C">
            <w:r>
              <w:rPr>
                <w:sz w:val="18"/>
                <w:szCs w:val="18"/>
              </w:rPr>
              <w:t>Dana Perimbangan (DP)</w:t>
            </w:r>
          </w:p>
        </w:tc>
        <w:tc>
          <w:tcPr>
            <w:tcW w:w="20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-17,5093</w:t>
            </w:r>
          </w:p>
        </w:tc>
        <w:tc>
          <w:tcPr>
            <w:tcW w:w="22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-3,353686</w:t>
            </w:r>
          </w:p>
        </w:tc>
        <w:tc>
          <w:tcPr>
            <w:tcW w:w="16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0,0016</w:t>
            </w:r>
          </w:p>
        </w:tc>
      </w:tr>
      <w:tr w:rsidR="00864F59">
        <w:tc>
          <w:tcPr>
            <w:tcW w:w="3560" w:type="dxa"/>
            <w:tcBorders>
              <w:top w:val="single" w:sz="4" w:space="0" w:color="000000"/>
              <w:left w:val="none" w:sz="0" w:space="0" w:color="FFFFFF"/>
              <w:bottom w:val="single" w:sz="4" w:space="0" w:color="000000"/>
              <w:right w:val="none" w:sz="0" w:space="0" w:color="FFFFFF"/>
            </w:tcBorders>
          </w:tcPr>
          <w:p w:rsidR="00864F59" w:rsidRDefault="00EC770C">
            <w:r>
              <w:rPr>
                <w:sz w:val="18"/>
                <w:szCs w:val="18"/>
              </w:rPr>
              <w:t>Belanja Daerah (BD)</w:t>
            </w:r>
          </w:p>
        </w:tc>
        <w:tc>
          <w:tcPr>
            <w:tcW w:w="20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100,1332</w:t>
            </w:r>
          </w:p>
        </w:tc>
        <w:tc>
          <w:tcPr>
            <w:tcW w:w="22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10,39970</w:t>
            </w:r>
          </w:p>
        </w:tc>
        <w:tc>
          <w:tcPr>
            <w:tcW w:w="16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0,0000</w:t>
            </w:r>
          </w:p>
        </w:tc>
      </w:tr>
      <w:tr w:rsidR="00864F59">
        <w:tc>
          <w:tcPr>
            <w:tcW w:w="3560" w:type="dxa"/>
            <w:tcBorders>
              <w:top w:val="single" w:sz="4" w:space="0" w:color="000000"/>
              <w:left w:val="none" w:sz="0" w:space="0" w:color="FFFFFF"/>
              <w:bottom w:val="single" w:sz="4" w:space="0" w:color="000000"/>
              <w:right w:val="none" w:sz="0" w:space="0" w:color="FFFFFF"/>
            </w:tcBorders>
          </w:tcPr>
          <w:p w:rsidR="00864F59" w:rsidRDefault="00EC770C">
            <w:r>
              <w:rPr>
                <w:sz w:val="18"/>
                <w:szCs w:val="18"/>
              </w:rPr>
              <w:t>Konstanta</w:t>
            </w:r>
          </w:p>
        </w:tc>
        <w:tc>
          <w:tcPr>
            <w:tcW w:w="20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-488,6388</w:t>
            </w:r>
          </w:p>
        </w:tc>
        <w:tc>
          <w:tcPr>
            <w:tcW w:w="22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w:t>
            </w:r>
          </w:p>
        </w:tc>
        <w:tc>
          <w:tcPr>
            <w:tcW w:w="16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sz w:val="18"/>
                <w:szCs w:val="18"/>
              </w:rPr>
              <w:t>–</w:t>
            </w:r>
          </w:p>
        </w:tc>
      </w:tr>
      <w:tr w:rsidR="00864F59">
        <w:tc>
          <w:tcPr>
            <w:tcW w:w="3560" w:type="dxa"/>
            <w:tcBorders>
              <w:top w:val="single" w:sz="4" w:space="0" w:color="000000"/>
              <w:left w:val="none" w:sz="0" w:space="0" w:color="FFFFFF"/>
              <w:bottom w:val="single" w:sz="4" w:space="0" w:color="000000"/>
              <w:right w:val="none" w:sz="0" w:space="0" w:color="FFFFFF"/>
            </w:tcBorders>
          </w:tcPr>
          <w:p w:rsidR="00864F59" w:rsidRDefault="00EC770C">
            <w:r>
              <w:rPr>
                <w:sz w:val="18"/>
                <w:szCs w:val="18"/>
              </w:rPr>
              <w:t>F-Statistik = 14,72343</w:t>
            </w:r>
          </w:p>
        </w:tc>
        <w:tc>
          <w:tcPr>
            <w:tcW w:w="2000" w:type="dxa"/>
            <w:tcBorders>
              <w:top w:val="single" w:sz="4" w:space="0" w:color="000000"/>
              <w:left w:val="none" w:sz="0" w:space="0" w:color="FFFFFF"/>
              <w:bottom w:val="single" w:sz="4" w:space="0" w:color="000000"/>
              <w:right w:val="none" w:sz="0" w:space="0" w:color="FFFFFF"/>
            </w:tcBorders>
          </w:tcPr>
          <w:p w:rsidR="00864F59" w:rsidRDefault="00EC770C">
            <w:pPr>
              <w:jc w:val="center"/>
            </w:pPr>
            <w:r>
              <w:rPr>
                <w:b/>
                <w:bCs/>
                <w:sz w:val="18"/>
                <w:szCs w:val="18"/>
              </w:rPr>
              <w:t>R² = 0,8208</w:t>
            </w:r>
          </w:p>
        </w:tc>
        <w:tc>
          <w:tcPr>
            <w:tcW w:w="2200" w:type="dxa"/>
            <w:tcBorders>
              <w:top w:val="single" w:sz="4" w:space="0" w:color="000000"/>
              <w:left w:val="none" w:sz="0" w:space="0" w:color="FFFFFF"/>
              <w:bottom w:val="single" w:sz="4" w:space="0" w:color="000000"/>
              <w:right w:val="none" w:sz="0" w:space="0" w:color="FFFFFF"/>
            </w:tcBorders>
          </w:tcPr>
          <w:p w:rsidR="00864F59" w:rsidRDefault="00864F59">
            <w:pPr>
              <w:jc w:val="center"/>
            </w:pPr>
          </w:p>
        </w:tc>
        <w:tc>
          <w:tcPr>
            <w:tcW w:w="1600" w:type="dxa"/>
            <w:tcBorders>
              <w:top w:val="single" w:sz="4" w:space="0" w:color="000000"/>
              <w:left w:val="none" w:sz="0" w:space="0" w:color="FFFFFF"/>
              <w:bottom w:val="single" w:sz="4" w:space="0" w:color="000000"/>
              <w:right w:val="none" w:sz="0" w:space="0" w:color="FFFFFF"/>
            </w:tcBorders>
          </w:tcPr>
          <w:p w:rsidR="00864F59" w:rsidRDefault="00864F59">
            <w:pPr>
              <w:jc w:val="center"/>
            </w:pPr>
          </w:p>
        </w:tc>
      </w:tr>
    </w:tbl>
    <w:p w:rsidR="00864F59" w:rsidRDefault="00EC770C">
      <w:pPr>
        <w:spacing w:after="150"/>
      </w:pPr>
      <w:r>
        <w:rPr>
          <w:i/>
          <w:iCs/>
        </w:rPr>
        <w:t>Signifikan pada α = 5%. Sumber: Hasil output regresi data panel EViews 13, diolah penulis (2026)</w:t>
      </w:r>
    </w:p>
    <w:p w:rsidR="00864F59" w:rsidRDefault="00EC770C">
      <w:pPr>
        <w:spacing w:before="150" w:after="100"/>
      </w:pPr>
      <w:r>
        <w:rPr>
          <w:b/>
          <w:bCs/>
          <w:color w:val="000000"/>
        </w:rPr>
        <w:t>3.5. Pengaruh Pendapatan Asli Daerah terhadap Kinerja Keuangan Daerah</w:t>
      </w:r>
    </w:p>
    <w:p w:rsidR="00864F59" w:rsidRDefault="00EC770C">
      <w:pPr>
        <w:spacing w:after="100"/>
        <w:ind w:firstLine="431"/>
        <w:jc w:val="both"/>
      </w:pPr>
      <w:r>
        <w:t>Hasil uji t menunjukkan bahwa Pendapatan Asli Daerah (PAD) berpengaruh signifikan dengan arah negatif terhadap Kinerja Keuangan Daerah Provinsi Riau (t-stat = -2</w:t>
      </w:r>
      <w:proofErr w:type="gramStart"/>
      <w:r>
        <w:t>,671696</w:t>
      </w:r>
      <w:proofErr w:type="gramEnd"/>
      <w:r>
        <w:t>; sig. = 0,0105 &lt; 0,05). Koefisien regresi sebesar −6</w:t>
      </w:r>
      <w:proofErr w:type="gramStart"/>
      <w:r>
        <w:t>,6613</w:t>
      </w:r>
      <w:proofErr w:type="gramEnd"/>
      <w:r>
        <w:t xml:space="preserve"> mengindikasikan bahwa setiap peningkatan PAD justru cenderung menurunkan kinerja keuangan daerah. Fenomena ini dapat dijelaskan melalui pendekatan teori keagenan: pemerintah daerah sebagai agen belum sepenuhnya mengelola sumber-sumber PAD secara efektif dan efisien demi kepentingan masyarakat sebagai prinsipal [6].</w:t>
      </w:r>
    </w:p>
    <w:p w:rsidR="00864F59" w:rsidRDefault="00EC770C">
      <w:pPr>
        <w:spacing w:after="100"/>
        <w:ind w:firstLine="431"/>
        <w:jc w:val="both"/>
      </w:pPr>
      <w:r>
        <w:t>Berdasarkan analisis kondisi fiskal 12 kabupaten/kota di Provinsi Riau, sebagian besar daerah masih mengalami perkembangan PAD yang berfluktuasi dan belum memiliki struktur penerimaan yang kuat. Kontribusi lain-lain PAD yang sah masih mendominasi, sedangkan penerimaan dari pajak daerah, retribusi, dan hasil pengelolaan kekayaan daerah yang dipisahkan masih relatif rendah. Kondisi ini menunjukkan bahwa peningkatan PAD yang terjadi belum berasal dari penguatan sumber-sumber PAD utama yang berkelanjutan, sehingga belum mampu mendorong peningkatan kinerja keuangan secara optimal. Hasil ini sejalan dengan penelitian Nova Rustiyani dan Irene Sukma Lestari Barus yang menemukan pengaruh negatif signifikan PAD terhadap kinerja keuangan daerah [4].</w:t>
      </w:r>
    </w:p>
    <w:p w:rsidR="00864F59" w:rsidRDefault="00EC770C">
      <w:pPr>
        <w:spacing w:before="150" w:after="100"/>
      </w:pPr>
      <w:r>
        <w:rPr>
          <w:b/>
          <w:bCs/>
          <w:color w:val="000000"/>
        </w:rPr>
        <w:t>3.6. Pengaruh Dana Perimbangan terhadap Kinerja Keuangan Daerah</w:t>
      </w:r>
    </w:p>
    <w:p w:rsidR="00864F59" w:rsidRDefault="00EC770C">
      <w:pPr>
        <w:spacing w:after="100"/>
        <w:ind w:firstLine="431"/>
        <w:jc w:val="both"/>
      </w:pPr>
      <w:r>
        <w:t>Dana Perimbangan berpengaruh signifikan dengan arah negatif terhadap Kinerja Keuangan Daerah Provinsi Riau (t-stat = -3</w:t>
      </w:r>
      <w:proofErr w:type="gramStart"/>
      <w:r>
        <w:t>,353686</w:t>
      </w:r>
      <w:proofErr w:type="gramEnd"/>
      <w:r>
        <w:t>; sig. = 0,0016 &lt; 0,05). Koefisien regresi sebesar -17</w:t>
      </w:r>
      <w:proofErr w:type="gramStart"/>
      <w:r>
        <w:t>,5093</w:t>
      </w:r>
      <w:proofErr w:type="gramEnd"/>
      <w:r>
        <w:t xml:space="preserve"> menunjukkan bahwa peningkatan Dana Perimbangan justru menurunkan kinerja keuangan daerah. Kondisi ini mengindikasikan bahwa masih tingginya ketergantungan pemerintah daerah terhadap </w:t>
      </w:r>
      <w:proofErr w:type="gramStart"/>
      <w:r>
        <w:t>dana</w:t>
      </w:r>
      <w:proofErr w:type="gramEnd"/>
      <w:r>
        <w:t xml:space="preserve"> transfer dari pemerintah pusat sehingga kemampuan daerah dalam mewujudkan kemandirian fiskal belum optimal.</w:t>
      </w:r>
    </w:p>
    <w:p w:rsidR="00864F59" w:rsidRDefault="00EC770C">
      <w:pPr>
        <w:spacing w:after="100"/>
        <w:ind w:firstLine="431"/>
        <w:jc w:val="both"/>
      </w:pPr>
      <w:r>
        <w:t xml:space="preserve">Temuan ini konsisten dengan teori desentralisasi fiskal Oates yang menyatakan bahwa meskipun transfer anggaran dari pusat dimaksudkan untuk mewujudkan pemerataan, pengelolaan </w:t>
      </w:r>
      <w:proofErr w:type="gramStart"/>
      <w:r>
        <w:t>dana</w:t>
      </w:r>
      <w:proofErr w:type="gramEnd"/>
      <w:r>
        <w:t xml:space="preserve"> perimbangan yang tidak efisien akan menimbulkan ketergantungan yang berlebihan [7]. Kabupaten Pelalawan misalnya menerima Dana Perimbangan tertinggi sebesar Rp3</w:t>
      </w:r>
      <w:proofErr w:type="gramStart"/>
      <w:r>
        <w:t>,90</w:t>
      </w:r>
      <w:proofErr w:type="gramEnd"/>
      <w:r>
        <w:t xml:space="preserve"> triliun pada 2024, namun nilai KKPD hanya mencapai 100,53%. Hasil penelitian ini sejalan dengan temuan Novi Natalia Padang dan Wendi Suprapto Padang [?] yang menunjukkan bahwa Dana Perimbangan tidak berpengaruh positif terhadap kinerja keuangan daerah.</w:t>
      </w:r>
    </w:p>
    <w:p w:rsidR="00864F59" w:rsidRDefault="00EC770C">
      <w:pPr>
        <w:spacing w:before="150" w:after="100"/>
      </w:pPr>
      <w:r>
        <w:rPr>
          <w:b/>
          <w:bCs/>
          <w:color w:val="000000"/>
        </w:rPr>
        <w:t>3.7. Pengaruh Belanja Daerah terhadap Kinerja Keuangan Daerah</w:t>
      </w:r>
    </w:p>
    <w:p w:rsidR="00864F59" w:rsidRDefault="00EC770C">
      <w:pPr>
        <w:spacing w:after="100"/>
        <w:ind w:firstLine="431"/>
        <w:jc w:val="both"/>
      </w:pPr>
      <w:r>
        <w:t>Belanja Daerah berpengaruh signifikan dengan arah positif terhadap Kinerja Keuangan Daerah Provinsi Riau (t-stat = 10</w:t>
      </w:r>
      <w:proofErr w:type="gramStart"/>
      <w:r>
        <w:t>,39970</w:t>
      </w:r>
      <w:proofErr w:type="gramEnd"/>
      <w:r>
        <w:t>; sig. = 0,0000 &lt; 0,05), dengan koefisien regresi sebesar 100,1332. Hasil ini menunjukkan bahwa semakin tinggi Belanja Daerah yang dialokasikan secara efektif, maka semakin baik pula kinerja keuangan daerah. Penggunaan Belanja Daerah yang tepat sasaran untuk infrastruktur, pelayanan publik, dan kegiatan operasional pemerintahan terbukti berdampak positif terhadap kinerja keuangan daerah. Temuan ini konsisten dengan teori keuangan publik Musgrave mengenai fungsi alokasi dan distribusi, serta sejalan dengan penelitian Muhammad Iqbal yang menemukan bahwa belanja daerah berpengaruh positif dan signifikan terhadap kinerja keuangan daerah [8].</w:t>
      </w:r>
    </w:p>
    <w:p w:rsidR="00864F59" w:rsidRDefault="00EC770C">
      <w:pPr>
        <w:spacing w:before="150" w:after="100"/>
      </w:pPr>
      <w:r>
        <w:rPr>
          <w:b/>
          <w:bCs/>
          <w:color w:val="000000"/>
        </w:rPr>
        <w:t>3.8. Pengaruh Simultan dan Koefisien Determinasi</w:t>
      </w:r>
    </w:p>
    <w:p w:rsidR="00864F59" w:rsidRDefault="00EC770C">
      <w:pPr>
        <w:spacing w:after="100"/>
        <w:ind w:firstLine="431"/>
        <w:jc w:val="both"/>
      </w:pPr>
      <w:r>
        <w:t>Secara simultan, PAD, Dana Perimbangan, dan Belanja Daerah berpengaruh signifikan terhadap Kinerja Keuangan Daerah di Provinsi Riau (F-stat = 14</w:t>
      </w:r>
      <w:proofErr w:type="gramStart"/>
      <w:r>
        <w:t>,72343</w:t>
      </w:r>
      <w:proofErr w:type="gramEnd"/>
      <w:r>
        <w:t xml:space="preserve">; prob. = 0,000000 &lt; 0,05). Nilai R² sebesar 0,8208 menunjukkan bahwa 82,08% variasi kinerja keuangan daerah dapat dijelaskan oleh ketiga variabel tersebut, sedangkan sisanya 17,92% dijelaskan oleh variabel lain di luar model. Hasil ini mengonfirmasi bahwa kinerja keuangan daerah tidak </w:t>
      </w:r>
      <w:r>
        <w:lastRenderedPageBreak/>
        <w:t xml:space="preserve">hanya ditentukan oleh satu faktor, melainkan dipengaruhi oleh kemampuan pemerintah daerah dalam meningkatkan pendapatan daerah, mengelola </w:t>
      </w:r>
      <w:proofErr w:type="gramStart"/>
      <w:r>
        <w:t>dana</w:t>
      </w:r>
      <w:proofErr w:type="gramEnd"/>
      <w:r>
        <w:t xml:space="preserve"> transfer dari pusat, serta mengalokasikan belanja daerah secara tepat dan efisien.</w:t>
      </w:r>
    </w:p>
    <w:p w:rsidR="00864F59" w:rsidRDefault="00EC770C">
      <w:pPr>
        <w:spacing w:before="150" w:after="100"/>
      </w:pPr>
      <w:r>
        <w:rPr>
          <w:b/>
          <w:bCs/>
          <w:color w:val="000000"/>
        </w:rPr>
        <w:t>3.9. Kinerja Keuangan Daerah dalam Perspektif Syariah</w:t>
      </w:r>
    </w:p>
    <w:p w:rsidR="00864F59" w:rsidRDefault="00EC770C">
      <w:pPr>
        <w:spacing w:after="100"/>
        <w:ind w:firstLine="431"/>
        <w:jc w:val="both"/>
      </w:pPr>
      <w:r>
        <w:t>Dalam perspektif syariah, pengelolaan keuangan daerah merupakan amanah yang harus dijalankan berdasarkan prinsip keadilan, transparansi, akuntabilitas, dan kemaslahatan. Islam memandang pengelolaan harta publik bukan sekadar aktivitas administratif dan instrumen ekonomi, melainkan sebagai perwujudan ibadah dan tanggung jawab kepada Allah SWT dan masyarakat. Hal ini tercermin dalam firman Allah SWT QS. Al-Hasyr [59]: 7 [2] yang menegaskan agar harta tidak hanya beredar di kalangan orang-orang kaya, melainkan memberikan manfaat bagi seluruh lapisan masyarakat.</w:t>
      </w:r>
    </w:p>
    <w:p w:rsidR="00864F59" w:rsidRDefault="00EC770C">
      <w:pPr>
        <w:spacing w:after="100"/>
        <w:ind w:firstLine="431"/>
        <w:jc w:val="both"/>
      </w:pPr>
      <w:r>
        <w:t>Dari perspektif maqashid syariah, pengelolaan PAD, Dana Perimbangan, dan Belanja Daerah idealnya harus berorientasi pada perlindungan jiwa (hifzh al-nafs), akal (hifzh al-’aql), keturunan (hifzh al-nasl), dan harta (hifzh al-mal). Pengaruh negatif PAD dan Dana Perimbangan mengindikasikan bahwa prinsip hifzh al-mal belum terwujud secara optimal; peningkatan penerimaan daerah belum diikuti dengan pengelolaan yang efektif dan berorientasi pada kemaslahatan masyarakat. Sebaliknya, pengaruh positif Belanja Daerah menunjukkan bahwa pengalokasian anggaran mulai mencerminkan tujuan maqashid syariah, khususnya dalam mendukung penyediaan layanan publik dan pembangunan yang bermanfaat bagi masyarakat. Oleh karena itu, pemerintah daerah di Provinsi Riau perlu mengimplementasikan nilai-nilai syariah dalam tata kelola keuangan daerah agar pengelolaan PAD, Dana Perimbangan, dan Belanja Daerah benar-benar berorientasi pada keadilan sosial dan kesejahteraan masyarakat.</w:t>
      </w:r>
    </w:p>
    <w:p w:rsidR="00864F59" w:rsidRDefault="00EC770C" w:rsidP="00263F46">
      <w:pPr>
        <w:spacing w:before="200" w:after="100"/>
      </w:pPr>
      <w:r>
        <w:rPr>
          <w:b/>
          <w:bCs/>
          <w:color w:val="000000"/>
        </w:rPr>
        <w:t xml:space="preserve">4. </w:t>
      </w:r>
      <w:r w:rsidR="00263F46">
        <w:rPr>
          <w:b/>
          <w:bCs/>
          <w:color w:val="000000"/>
        </w:rPr>
        <w:t>KESIMPULAN</w:t>
      </w:r>
    </w:p>
    <w:p w:rsidR="00864F59" w:rsidRDefault="00EC770C">
      <w:pPr>
        <w:spacing w:after="100"/>
        <w:ind w:firstLine="431"/>
        <w:jc w:val="both"/>
      </w:pPr>
      <w:r>
        <w:t>Berdasarkan hasil penelitian dan pembahasan yang telah dilakukan, dapat disimpulkan bahwa: pertama, Pendapatan Asli Daerah (PAD) berpengaruh signifikan dengan arah negatif terhadap Kinerja Keuangan Daerah kabupaten/kota di Provinsi Riau (t-stat = 2</w:t>
      </w:r>
      <w:proofErr w:type="gramStart"/>
      <w:r>
        <w:t>,671696</w:t>
      </w:r>
      <w:proofErr w:type="gramEnd"/>
      <w:r>
        <w:t>; sig. = 0,0105), yang berarti peningkatan PAD belum mampu mendorong peningkatan kinerja keuangan secara optimal karena pengelolaan sumber-sumber PAD masih berfluktuasi dan belum memiliki struktur yang kuat. Kedua, Dana Perimbangan berpengaruh signifikan negatif terhadap Kinerja Keuangan Daerah (t-stat = 3</w:t>
      </w:r>
      <w:proofErr w:type="gramStart"/>
      <w:r>
        <w:t>,353686</w:t>
      </w:r>
      <w:proofErr w:type="gramEnd"/>
      <w:r>
        <w:t>; sig. = 0,0016), yang mengindikasikan masih tingginya ketergantungan pemerintah daerah terhadap transfer dari pemerintah pusat sehingga kemandirian fiskal belum terwujud. Ketiga, Belanja Daerah berpengaruh signifikan positif terhadap Kinerja Keuangan Daerah (t-stat = 10</w:t>
      </w:r>
      <w:proofErr w:type="gramStart"/>
      <w:r>
        <w:t>,39970</w:t>
      </w:r>
      <w:proofErr w:type="gramEnd"/>
      <w:r>
        <w:t>; sig. = 0,0000), menunjukkan bahwa alokasi belanja yang efektif mampu meningkatkan kinerja keuangan daerah. Keempat, secara simultan ketiga variabel berpengaruh signifikan (F-stat = 14</w:t>
      </w:r>
      <w:proofErr w:type="gramStart"/>
      <w:r>
        <w:t>,72343</w:t>
      </w:r>
      <w:proofErr w:type="gramEnd"/>
      <w:r>
        <w:t>; R² = 0,8208). Kelima, dalam perspektif syariah, pengelolaan keuangan daerah harus dilandasi prinsip amanah, keadilan, transparansi, dan kemaslahatan sesuai maqashid syariah agar mampu meningkatkan kesejahteraan masyarakat secara berkelanjutan.</w:t>
      </w:r>
    </w:p>
    <w:p w:rsidR="00864F59" w:rsidRDefault="00EC770C">
      <w:pPr>
        <w:spacing w:after="100"/>
        <w:ind w:firstLine="431"/>
        <w:jc w:val="both"/>
      </w:pPr>
      <w:r>
        <w:t>Berdasarkan temuan tersebut, pemerintah daerah di Provinsi Riau disarankan untuk meningkatkan efektivitas pengelolaan PAD melalui diversifikasi sumber pendapatan dan penguatan retribusi daerah; mengurangi ketergantungan terhadap Dana Perimbangan dengan mengoptimalkan potensi fiskal lokal; serta mengarahkan Belanja Daerah pada kegiatan produktif yang memberikan dampak langsung pada kesejahteraan masyarakat. Dalam perspektif syariah, seluruh pengelolaan keuangan daerah harus senantiasa berorientasi pada prinsip keadilan, amanah, transparansi, dan kemaslahatan.</w:t>
      </w:r>
    </w:p>
    <w:p w:rsidR="00864F59" w:rsidRDefault="00EC770C" w:rsidP="00F72280">
      <w:pPr>
        <w:spacing w:before="200" w:after="100"/>
      </w:pPr>
      <w:r>
        <w:rPr>
          <w:b/>
          <w:bCs/>
          <w:color w:val="000000"/>
        </w:rPr>
        <w:t xml:space="preserve">DAFTAR PUSTAKA </w:t>
      </w:r>
    </w:p>
    <w:p w:rsidR="00864F59" w:rsidRDefault="00EC770C">
      <w:pPr>
        <w:spacing w:after="60"/>
        <w:ind w:left="431" w:hanging="431"/>
      </w:pPr>
      <w:r>
        <w:rPr>
          <w:sz w:val="16"/>
          <w:szCs w:val="16"/>
        </w:rPr>
        <w:t>[1] Undang-Undang Nomor 23 Tahun 2014 tentang Pemerintahan Daerah. Jakarta, Indonesia: Pemerintah Republik Indonesia, 2014.</w:t>
      </w:r>
    </w:p>
    <w:p w:rsidR="00864F59" w:rsidRDefault="00EC770C">
      <w:pPr>
        <w:spacing w:after="60"/>
        <w:ind w:left="431" w:hanging="431"/>
      </w:pPr>
      <w:r>
        <w:rPr>
          <w:sz w:val="16"/>
          <w:szCs w:val="16"/>
        </w:rPr>
        <w:t>[2] Al-Qur’an, QS. Al-Hasyr [59]: 7, dalam Al-Qur’an dan Terjemahannya. Jakarta, Indonesia: Kementerian Agama Republik Indonesia.</w:t>
      </w:r>
    </w:p>
    <w:p w:rsidR="00864F59" w:rsidRDefault="00EC770C">
      <w:pPr>
        <w:spacing w:after="60"/>
        <w:ind w:left="431" w:hanging="431"/>
      </w:pPr>
      <w:r>
        <w:rPr>
          <w:sz w:val="16"/>
          <w:szCs w:val="16"/>
        </w:rPr>
        <w:t>[3] J. Wardi, “Pengaruh PAD dan Dana Perimbangan terhadap kinerja keuangan daerah,” J. Akunt. Syariah dan Tata Kelola, vol. 5, no. 1, pp. 1–15, 2024.</w:t>
      </w:r>
    </w:p>
    <w:p w:rsidR="00864F59" w:rsidRDefault="00EC770C">
      <w:pPr>
        <w:spacing w:after="60"/>
        <w:ind w:left="431" w:hanging="431"/>
      </w:pPr>
      <w:r>
        <w:rPr>
          <w:sz w:val="16"/>
          <w:szCs w:val="16"/>
        </w:rPr>
        <w:t xml:space="preserve">[4] N. Rustiyani and I. S. L. Barus, “Pengaruh PAD, Dana Perimbangan dan Belanja Modal terhadap kinerja keuangan pemerintah daerah Kabupaten Bandung Barat,” J. Akunt. Bisnis dan </w:t>
      </w:r>
      <w:proofErr w:type="gramStart"/>
      <w:r>
        <w:rPr>
          <w:sz w:val="16"/>
          <w:szCs w:val="16"/>
        </w:rPr>
        <w:t>Ekon.,</w:t>
      </w:r>
      <w:proofErr w:type="gramEnd"/>
      <w:r>
        <w:rPr>
          <w:sz w:val="16"/>
          <w:szCs w:val="16"/>
        </w:rPr>
        <w:t xml:space="preserve"> 2023.</w:t>
      </w:r>
    </w:p>
    <w:p w:rsidR="00864F59" w:rsidRDefault="00EC770C">
      <w:pPr>
        <w:spacing w:after="60"/>
        <w:ind w:left="431" w:hanging="431"/>
      </w:pPr>
      <w:r>
        <w:rPr>
          <w:sz w:val="16"/>
          <w:szCs w:val="16"/>
        </w:rPr>
        <w:t>[5] S. Hanida and W. Ichwanudin, Analisis Determinan Belanja Modal dan Implikasinya terhadap Kinerja Keuangan Daerah dengan PAD sebagai Variabel Intervening pada Kabupaten/Kota di Provinsi Banten Tahun 2010–2019. Serang, Indonesia: Universitas Sultan Ageng Tirtayasa, 2021.</w:t>
      </w:r>
    </w:p>
    <w:p w:rsidR="00864F59" w:rsidRDefault="00EC770C">
      <w:pPr>
        <w:spacing w:after="60"/>
        <w:ind w:left="431" w:hanging="431"/>
      </w:pPr>
      <w:r>
        <w:rPr>
          <w:sz w:val="16"/>
          <w:szCs w:val="16"/>
        </w:rPr>
        <w:t>[6] M. C. Jensen and W. H. Meckling, “Theory of the firm: Managerial behavior, agency costs and ownership structure,” J. Financial Econ., vol. 3, no. 4, pp. 305–360, 1976.</w:t>
      </w:r>
    </w:p>
    <w:p w:rsidR="00864F59" w:rsidRDefault="00EC770C">
      <w:pPr>
        <w:spacing w:after="60"/>
        <w:ind w:left="431" w:hanging="431"/>
      </w:pPr>
      <w:r>
        <w:rPr>
          <w:sz w:val="16"/>
          <w:szCs w:val="16"/>
        </w:rPr>
        <w:t>[7] W. E. Oates, Fiscal Federalism. New York, USA: Harcourt Brace Jovanovich, 1972.</w:t>
      </w:r>
    </w:p>
    <w:p w:rsidR="00864F59" w:rsidRDefault="00EC770C">
      <w:pPr>
        <w:spacing w:after="60"/>
        <w:ind w:left="431" w:hanging="431"/>
      </w:pPr>
      <w:r>
        <w:rPr>
          <w:sz w:val="16"/>
          <w:szCs w:val="16"/>
        </w:rPr>
        <w:t>[8] M. Iqbal, D. Rachman, and S. Rodiah, “Pengaruh rencana anggaran dan realisasi APBD terhadap kinerja keuangan pemerintah daerah,” Akurat: J. Ilmiah Akunt. FE Unibba, vol. 12, no. 2, pp. 18–34, 2021.</w:t>
      </w:r>
    </w:p>
    <w:p w:rsidR="00864F59" w:rsidRDefault="00670B5F">
      <w:pPr>
        <w:spacing w:after="60"/>
        <w:ind w:left="431" w:hanging="431"/>
      </w:pPr>
      <w:r>
        <w:rPr>
          <w:sz w:val="16"/>
          <w:szCs w:val="16"/>
        </w:rPr>
        <w:t xml:space="preserve"> [9</w:t>
      </w:r>
      <w:r w:rsidR="00EC770C">
        <w:rPr>
          <w:sz w:val="16"/>
          <w:szCs w:val="16"/>
        </w:rPr>
        <w:t>] Asy-Syatibi, Abu Ishaq. Al-Muwafaqat fi Ushul asy-Syari’ah, Jilid II. Beirut, Lebanon: Dar al-Ma’rifah, 1997.</w:t>
      </w:r>
    </w:p>
    <w:p w:rsidR="00864F59" w:rsidRDefault="00670B5F">
      <w:pPr>
        <w:spacing w:after="60"/>
        <w:ind w:left="431" w:hanging="431"/>
      </w:pPr>
      <w:r>
        <w:rPr>
          <w:sz w:val="16"/>
          <w:szCs w:val="16"/>
        </w:rPr>
        <w:t>[10</w:t>
      </w:r>
      <w:r w:rsidR="00EC770C">
        <w:rPr>
          <w:sz w:val="16"/>
          <w:szCs w:val="16"/>
        </w:rPr>
        <w:t>] Fathurrahman, “Peran Dana Perimbangan dalam meningkatkan kinerja keuangan daerah di Kabupaten Lombok Tengah,” Cakrawala, vo</w:t>
      </w:r>
      <w:r>
        <w:rPr>
          <w:sz w:val="16"/>
          <w:szCs w:val="16"/>
        </w:rPr>
        <w:t>l. 19, no. 1, pp. 99–114, Jul. 9</w:t>
      </w:r>
      <w:r w:rsidR="00EC770C">
        <w:rPr>
          <w:sz w:val="16"/>
          <w:szCs w:val="16"/>
        </w:rPr>
        <w:t>025.</w:t>
      </w:r>
    </w:p>
    <w:p w:rsidR="00864F59" w:rsidRDefault="00670B5F">
      <w:pPr>
        <w:spacing w:after="60"/>
        <w:ind w:left="431" w:hanging="431"/>
      </w:pPr>
      <w:r>
        <w:rPr>
          <w:sz w:val="16"/>
          <w:szCs w:val="16"/>
        </w:rPr>
        <w:lastRenderedPageBreak/>
        <w:t>[11</w:t>
      </w:r>
      <w:r w:rsidR="00EC770C">
        <w:rPr>
          <w:sz w:val="16"/>
          <w:szCs w:val="16"/>
        </w:rPr>
        <w:t>] A. Halim, Manajemen Keuangan Sektor Publik: Problematika Penerimaan dan Pengeluaran Pemerintah. Jakarta, Indonesia: Salemba Empat, 2016.</w:t>
      </w:r>
    </w:p>
    <w:p w:rsidR="00864F59" w:rsidRDefault="00670B5F">
      <w:pPr>
        <w:spacing w:after="60"/>
        <w:ind w:left="431" w:hanging="431"/>
      </w:pPr>
      <w:r>
        <w:rPr>
          <w:sz w:val="16"/>
          <w:szCs w:val="16"/>
        </w:rPr>
        <w:t>[12</w:t>
      </w:r>
      <w:r w:rsidR="00EC770C">
        <w:rPr>
          <w:sz w:val="16"/>
          <w:szCs w:val="16"/>
        </w:rPr>
        <w:t>] T. M. Listyowati and A. Rahmayati, “Pengaruh pajak daerah, retribusi daerah, laba BUMD, dan belanja modal terhadap Pendapatan Asli Daerah (PAD),” J. Econ. Business Res., vol. 2, no. 1, pp. 68–81, Jun. 2023.</w:t>
      </w:r>
    </w:p>
    <w:p w:rsidR="00864F59" w:rsidRDefault="00670B5F">
      <w:pPr>
        <w:spacing w:after="60"/>
        <w:ind w:left="431" w:hanging="431"/>
      </w:pPr>
      <w:r>
        <w:rPr>
          <w:sz w:val="16"/>
          <w:szCs w:val="16"/>
        </w:rPr>
        <w:t>[13</w:t>
      </w:r>
      <w:r w:rsidR="00EC770C">
        <w:rPr>
          <w:sz w:val="16"/>
          <w:szCs w:val="16"/>
        </w:rPr>
        <w:t>] Mardiasmo, Akuntansi Sektor Publik. Yogyakarta, Indonesia: Andi, 2009.</w:t>
      </w:r>
    </w:p>
    <w:p w:rsidR="00864F59" w:rsidRDefault="00670B5F">
      <w:pPr>
        <w:spacing w:after="60"/>
        <w:ind w:left="431" w:hanging="431"/>
      </w:pPr>
      <w:r>
        <w:rPr>
          <w:sz w:val="16"/>
          <w:szCs w:val="16"/>
        </w:rPr>
        <w:t>[14</w:t>
      </w:r>
      <w:r w:rsidR="00EC770C">
        <w:rPr>
          <w:sz w:val="16"/>
          <w:szCs w:val="16"/>
        </w:rPr>
        <w:t>] Peraturan Pemerintah Nomor 12 Tahun 2019 tentang Pengelolaan Keuangan Daerah. Jakarta, Indonesia: Pemerintah Republik Indonesia.</w:t>
      </w:r>
    </w:p>
    <w:p w:rsidR="00864F59" w:rsidRDefault="00670B5F">
      <w:pPr>
        <w:spacing w:after="60"/>
        <w:ind w:left="431" w:hanging="431"/>
      </w:pPr>
      <w:r>
        <w:rPr>
          <w:sz w:val="16"/>
          <w:szCs w:val="16"/>
        </w:rPr>
        <w:t>[15</w:t>
      </w:r>
      <w:r w:rsidR="00EC770C">
        <w:rPr>
          <w:sz w:val="16"/>
          <w:szCs w:val="16"/>
        </w:rPr>
        <w:t>] Undang-Undang Nomor 33 Tahun 2004 tentang Perimbangan Keuangan antara Pemerintah Pusat dan Pemerintahan Daerah. Jakarta, Indonesia: Pemerintah Republik Indonesia.</w:t>
      </w:r>
    </w:p>
    <w:sectPr w:rsidR="00864F59">
      <w:headerReference w:type="default" r:id="rId8"/>
      <w:footerReference w:type="default" r:id="rId9"/>
      <w:pgSz w:w="11906" w:h="16838"/>
      <w:pgMar w:top="1411" w:right="1137" w:bottom="1137" w:left="141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0B6" w:rsidRDefault="00F700B6">
      <w:r>
        <w:separator/>
      </w:r>
    </w:p>
  </w:endnote>
  <w:endnote w:type="continuationSeparator" w:id="0">
    <w:p w:rsidR="00F700B6" w:rsidRDefault="00F70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F59" w:rsidRDefault="00864F59">
    <w:pPr>
      <w:pBdr>
        <w:top w:val="single" w:sz="6" w:space="4" w:color="000000"/>
      </w:pBdr>
    </w:pPr>
  </w:p>
  <w:p w:rsidR="00864F59" w:rsidRDefault="00864F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0B6" w:rsidRDefault="00F700B6">
      <w:r>
        <w:separator/>
      </w:r>
    </w:p>
  </w:footnote>
  <w:footnote w:type="continuationSeparator" w:id="0">
    <w:p w:rsidR="00F700B6" w:rsidRDefault="00F700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0"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000"/>
      <w:gridCol w:w="2360"/>
    </w:tblGrid>
    <w:tr w:rsidR="00864F59">
      <w:tc>
        <w:tcPr>
          <w:tcW w:w="7000" w:type="dxa"/>
          <w:tcBorders>
            <w:top w:val="none" w:sz="0" w:space="0" w:color="FFFFFF"/>
            <w:left w:val="none" w:sz="0" w:space="0" w:color="FFFFFF"/>
            <w:bottom w:val="none" w:sz="0" w:space="0" w:color="FFFFFF"/>
            <w:right w:val="none" w:sz="0" w:space="0" w:color="FFFFFF"/>
          </w:tcBorders>
        </w:tcPr>
        <w:p w:rsidR="00864F59" w:rsidRDefault="00EC770C">
          <w:r>
            <w:rPr>
              <w:b/>
              <w:bCs/>
            </w:rPr>
            <w:t>TANJAK; Jurnal Tinjauan Syariah</w:t>
          </w:r>
        </w:p>
        <w:p w:rsidR="00864F59" w:rsidRDefault="00EC770C" w:rsidP="00167513">
          <w:r>
            <w:t xml:space="preserve">Vol. xx, No. x, </w:t>
          </w:r>
          <w:r w:rsidR="00167513">
            <w:t>Desember 2025</w:t>
          </w:r>
        </w:p>
        <w:p w:rsidR="00864F59" w:rsidRDefault="00EC770C">
          <w:r>
            <w:t>ISSN: xxxx-xxxx, DOI: 10.xxxxx/tanjak.vxxixx.paperID</w:t>
          </w:r>
        </w:p>
      </w:tc>
      <w:tc>
        <w:tcPr>
          <w:tcW w:w="2360" w:type="dxa"/>
          <w:tcBorders>
            <w:top w:val="none" w:sz="0" w:space="0" w:color="FFFFFF"/>
            <w:left w:val="none" w:sz="0" w:space="0" w:color="FFFFFF"/>
            <w:bottom w:val="none" w:sz="0" w:space="0" w:color="FFFFFF"/>
            <w:right w:val="none" w:sz="0" w:space="0" w:color="FFFFFF"/>
          </w:tcBorders>
          <w:vAlign w:val="bottom"/>
        </w:tcPr>
        <w:p w:rsidR="00864F59" w:rsidRDefault="00EC770C">
          <w:pPr>
            <w:jc w:val="right"/>
          </w:pPr>
          <w:r>
            <w:fldChar w:fldCharType="begin"/>
          </w:r>
          <w:r>
            <w:instrText>PAGE</w:instrText>
          </w:r>
          <w:r>
            <w:fldChar w:fldCharType="separate"/>
          </w:r>
          <w:r w:rsidR="004E533A">
            <w:rPr>
              <w:noProof/>
            </w:rPr>
            <w:t>1</w:t>
          </w:r>
          <w:r>
            <w:fldChar w:fldCharType="end"/>
          </w:r>
        </w:p>
      </w:tc>
    </w:tr>
  </w:tbl>
  <w:p w:rsidR="00864F59" w:rsidRDefault="00864F59">
    <w:pPr>
      <w:pBdr>
        <w:bottom w:val="single" w:sz="6" w:space="4"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D0041E"/>
    <w:multiLevelType w:val="hybridMultilevel"/>
    <w:tmpl w:val="59D84AA2"/>
    <w:lvl w:ilvl="0" w:tplc="ACA0E3D2">
      <w:start w:val="1"/>
      <w:numFmt w:val="bullet"/>
      <w:lvlText w:val="●"/>
      <w:lvlJc w:val="left"/>
      <w:pPr>
        <w:ind w:left="720" w:hanging="360"/>
      </w:pPr>
    </w:lvl>
    <w:lvl w:ilvl="1" w:tplc="8692F4A0">
      <w:start w:val="1"/>
      <w:numFmt w:val="bullet"/>
      <w:lvlText w:val="○"/>
      <w:lvlJc w:val="left"/>
      <w:pPr>
        <w:ind w:left="1440" w:hanging="360"/>
      </w:pPr>
    </w:lvl>
    <w:lvl w:ilvl="2" w:tplc="3ECC7D76">
      <w:start w:val="1"/>
      <w:numFmt w:val="bullet"/>
      <w:lvlText w:val="■"/>
      <w:lvlJc w:val="left"/>
      <w:pPr>
        <w:ind w:left="2160" w:hanging="360"/>
      </w:pPr>
    </w:lvl>
    <w:lvl w:ilvl="3" w:tplc="90F8EC7C">
      <w:start w:val="1"/>
      <w:numFmt w:val="bullet"/>
      <w:lvlText w:val="●"/>
      <w:lvlJc w:val="left"/>
      <w:pPr>
        <w:ind w:left="2880" w:hanging="360"/>
      </w:pPr>
    </w:lvl>
    <w:lvl w:ilvl="4" w:tplc="E6B666D4">
      <w:start w:val="1"/>
      <w:numFmt w:val="bullet"/>
      <w:lvlText w:val="○"/>
      <w:lvlJc w:val="left"/>
      <w:pPr>
        <w:ind w:left="3600" w:hanging="360"/>
      </w:pPr>
    </w:lvl>
    <w:lvl w:ilvl="5" w:tplc="581EF114">
      <w:start w:val="1"/>
      <w:numFmt w:val="bullet"/>
      <w:lvlText w:val="■"/>
      <w:lvlJc w:val="left"/>
      <w:pPr>
        <w:ind w:left="4320" w:hanging="360"/>
      </w:pPr>
    </w:lvl>
    <w:lvl w:ilvl="6" w:tplc="27601B9E">
      <w:start w:val="1"/>
      <w:numFmt w:val="bullet"/>
      <w:lvlText w:val="●"/>
      <w:lvlJc w:val="left"/>
      <w:pPr>
        <w:ind w:left="5040" w:hanging="360"/>
      </w:pPr>
    </w:lvl>
    <w:lvl w:ilvl="7" w:tplc="D8B65702">
      <w:start w:val="1"/>
      <w:numFmt w:val="bullet"/>
      <w:lvlText w:val="●"/>
      <w:lvlJc w:val="left"/>
      <w:pPr>
        <w:ind w:left="5760" w:hanging="360"/>
      </w:pPr>
    </w:lvl>
    <w:lvl w:ilvl="8" w:tplc="6496692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59"/>
    <w:rsid w:val="000C6F79"/>
    <w:rsid w:val="00143F02"/>
    <w:rsid w:val="00167513"/>
    <w:rsid w:val="00263F46"/>
    <w:rsid w:val="004E533A"/>
    <w:rsid w:val="00663ED4"/>
    <w:rsid w:val="00670B5F"/>
    <w:rsid w:val="00864F59"/>
    <w:rsid w:val="0090599E"/>
    <w:rsid w:val="00974195"/>
    <w:rsid w:val="00BB5B66"/>
    <w:rsid w:val="00EC770C"/>
    <w:rsid w:val="00F700B6"/>
    <w:rsid w:val="00F722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9389B3-DFDB-4932-BF5F-9E1B56519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63ED4"/>
    <w:pPr>
      <w:tabs>
        <w:tab w:val="center" w:pos="4680"/>
        <w:tab w:val="right" w:pos="9360"/>
      </w:tabs>
    </w:pPr>
  </w:style>
  <w:style w:type="character" w:customStyle="1" w:styleId="HeaderChar">
    <w:name w:val="Header Char"/>
    <w:basedOn w:val="DefaultParagraphFont"/>
    <w:link w:val="Header"/>
    <w:uiPriority w:val="99"/>
    <w:rsid w:val="00663ED4"/>
  </w:style>
  <w:style w:type="paragraph" w:styleId="Footer">
    <w:name w:val="footer"/>
    <w:basedOn w:val="Normal"/>
    <w:link w:val="FooterChar"/>
    <w:uiPriority w:val="99"/>
    <w:unhideWhenUsed/>
    <w:rsid w:val="00663ED4"/>
    <w:pPr>
      <w:tabs>
        <w:tab w:val="center" w:pos="4680"/>
        <w:tab w:val="right" w:pos="9360"/>
      </w:tabs>
    </w:pPr>
  </w:style>
  <w:style w:type="character" w:customStyle="1" w:styleId="FooterChar">
    <w:name w:val="Footer Char"/>
    <w:basedOn w:val="DefaultParagraphFont"/>
    <w:link w:val="Footer"/>
    <w:uiPriority w:val="99"/>
    <w:rsid w:val="00663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sa/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2876</Words>
  <Characters>16399</Characters>
  <Application>Microsoft Office Word</Application>
  <DocSecurity>0</DocSecurity>
  <Lines>136</Lines>
  <Paragraphs>38</Paragraphs>
  <ScaleCrop>false</ScaleCrop>
  <Company/>
  <LinksUpToDate>false</LinksUpToDate>
  <CharactersWithSpaces>19237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12</cp:revision>
  <dcterms:created xsi:type="dcterms:W3CDTF">2026-09-17T09:39:00Z</dcterms:created>
  <dcterms:modified xsi:type="dcterms:W3CDTF">2026-09-17T23:06:00Z</dcterms:modified>
</cp:coreProperties>
</file>