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2178" w:rsidRDefault="00F34924">
      <w:pPr>
        <w:spacing w:after="200"/>
        <w:jc w:val="center"/>
      </w:pPr>
      <w:r>
        <w:rPr>
          <w:b/>
          <w:bCs/>
          <w:sz w:val="32"/>
          <w:szCs w:val="32"/>
        </w:rPr>
        <w:t>Determinan Pemahaman Pelaku UMKM di Kecamatan Bantan dalam Penyusunan Laporan Keuangan Berdasarkan SAK EMKM</w:t>
      </w:r>
    </w:p>
    <w:p w:rsidR="00D02178" w:rsidRPr="007B6DB7" w:rsidRDefault="00F34924">
      <w:pPr>
        <w:jc w:val="center"/>
        <w:rPr>
          <w:b/>
          <w:bCs/>
        </w:rPr>
      </w:pPr>
      <w:bookmarkStart w:id="0" w:name="_GoBack"/>
      <w:r w:rsidRPr="007B6DB7">
        <w:rPr>
          <w:b/>
          <w:bCs/>
        </w:rPr>
        <w:t>Nurfitriani</w:t>
      </w:r>
      <w:r w:rsidRPr="007B6DB7">
        <w:rPr>
          <w:b/>
          <w:bCs/>
          <w:sz w:val="14"/>
          <w:szCs w:val="14"/>
          <w:vertAlign w:val="superscript"/>
        </w:rPr>
        <w:t>1</w:t>
      </w:r>
      <w:r w:rsidRPr="007B6DB7">
        <w:rPr>
          <w:b/>
          <w:bCs/>
        </w:rPr>
        <w:t>, Reynelda Sheba</w:t>
      </w:r>
      <w:r w:rsidRPr="007B6DB7">
        <w:rPr>
          <w:b/>
          <w:bCs/>
          <w:sz w:val="14"/>
          <w:szCs w:val="14"/>
          <w:vertAlign w:val="superscript"/>
        </w:rPr>
        <w:t>2</w:t>
      </w:r>
      <w:r w:rsidRPr="007B6DB7">
        <w:rPr>
          <w:b/>
          <w:bCs/>
        </w:rPr>
        <w:t>, Firdaus</w:t>
      </w:r>
      <w:r w:rsidRPr="007B6DB7">
        <w:rPr>
          <w:b/>
          <w:bCs/>
          <w:sz w:val="14"/>
          <w:szCs w:val="14"/>
          <w:vertAlign w:val="superscript"/>
        </w:rPr>
        <w:t>3</w:t>
      </w:r>
      <w:bookmarkEnd w:id="0"/>
    </w:p>
    <w:p w:rsidR="00D02178" w:rsidRDefault="00F34924">
      <w:pPr>
        <w:spacing w:after="200"/>
        <w:jc w:val="center"/>
      </w:pPr>
      <w:r>
        <w:rPr>
          <w:sz w:val="14"/>
          <w:szCs w:val="14"/>
          <w:vertAlign w:val="superscript"/>
        </w:rPr>
        <w:t>1</w:t>
      </w:r>
      <w:proofErr w:type="gramStart"/>
      <w:r>
        <w:rPr>
          <w:sz w:val="14"/>
          <w:szCs w:val="14"/>
          <w:vertAlign w:val="superscript"/>
        </w:rPr>
        <w:t>,2,3</w:t>
      </w:r>
      <w:r>
        <w:rPr>
          <w:sz w:val="16"/>
          <w:szCs w:val="16"/>
        </w:rPr>
        <w:t>Program</w:t>
      </w:r>
      <w:proofErr w:type="gramEnd"/>
      <w:r>
        <w:rPr>
          <w:sz w:val="16"/>
          <w:szCs w:val="16"/>
        </w:rPr>
        <w:t xml:space="preserve"> Studi Akuntansi Syariah, Institut Agama Islam Negeri (IAIN) Datuk Laksamana Bengkalis, Indonesia</w:t>
      </w:r>
    </w:p>
    <w:tbl>
      <w:tblPr>
        <w:tblW w:w="9360" w:type="dxa"/>
        <w:tblInd w:w="-10" w:type="dxa"/>
        <w:tblBorders>
          <w:top w:val="double" w:sz="4" w:space="0" w:color="auto"/>
        </w:tblBorders>
        <w:tblCellMar>
          <w:left w:w="10" w:type="dxa"/>
          <w:right w:w="10" w:type="dxa"/>
        </w:tblCellMar>
        <w:tblLook w:val="04A0" w:firstRow="1" w:lastRow="0" w:firstColumn="1" w:lastColumn="0" w:noHBand="0" w:noVBand="1"/>
      </w:tblPr>
      <w:tblGrid>
        <w:gridCol w:w="2800"/>
        <w:gridCol w:w="6560"/>
      </w:tblGrid>
      <w:tr w:rsidR="00D02178" w:rsidTr="00F9510E">
        <w:tc>
          <w:tcPr>
            <w:tcW w:w="2800" w:type="dxa"/>
          </w:tcPr>
          <w:p w:rsidR="00D02178" w:rsidRDefault="00F34924">
            <w:pPr>
              <w:spacing w:after="200"/>
            </w:pPr>
            <w:r>
              <w:rPr>
                <w:b/>
                <w:bCs/>
                <w:i/>
                <w:iCs/>
              </w:rPr>
              <w:t>Article Info</w:t>
            </w:r>
          </w:p>
          <w:p w:rsidR="00D02178" w:rsidRDefault="00F34924">
            <w:r>
              <w:rPr>
                <w:b/>
                <w:bCs/>
                <w:i/>
                <w:iCs/>
              </w:rPr>
              <w:t>Article history:</w:t>
            </w:r>
          </w:p>
          <w:p w:rsidR="00525BAF" w:rsidRDefault="00525BAF"/>
          <w:p w:rsidR="00525BAF" w:rsidRDefault="00525BAF"/>
          <w:p w:rsidR="00525BAF" w:rsidRDefault="00525BAF"/>
          <w:p w:rsidR="00525BAF" w:rsidRDefault="00525BAF"/>
          <w:p w:rsidR="00D02178" w:rsidRDefault="00F34924">
            <w:r>
              <w:rPr>
                <w:b/>
                <w:bCs/>
                <w:i/>
                <w:iCs/>
              </w:rPr>
              <w:t>Keywords:</w:t>
            </w:r>
          </w:p>
          <w:p w:rsidR="00D02178" w:rsidRDefault="00F34924">
            <w:r>
              <w:t>Pemahaman Pelaku UMKM</w:t>
            </w:r>
          </w:p>
          <w:p w:rsidR="00D02178" w:rsidRDefault="00F34924">
            <w:r>
              <w:t>Informasi dan Sosialisasi</w:t>
            </w:r>
          </w:p>
          <w:p w:rsidR="00D02178" w:rsidRDefault="00F34924">
            <w:r>
              <w:t>SAK EMKM</w:t>
            </w:r>
          </w:p>
        </w:tc>
        <w:tc>
          <w:tcPr>
            <w:tcW w:w="6560" w:type="dxa"/>
          </w:tcPr>
          <w:p w:rsidR="00D02178" w:rsidRDefault="00F34924" w:rsidP="00525BAF">
            <w:pPr>
              <w:spacing w:after="100"/>
            </w:pPr>
            <w:r>
              <w:rPr>
                <w:b/>
                <w:bCs/>
              </w:rPr>
              <w:t xml:space="preserve">ABSTRAK </w:t>
            </w:r>
          </w:p>
          <w:p w:rsidR="00D02178" w:rsidRDefault="00F34924">
            <w:pPr>
              <w:spacing w:after="200"/>
              <w:jc w:val="both"/>
            </w:pPr>
            <w:r>
              <w:t>Penelitian ini dilatarbelakangi oleh masalah pelaku UMKM yang kurang memahami penyusunan laporan keuangan berdasarkan SAK EMKM sehingga mayoritas UMKM tidak dapat memberikan informasi akuntansi mengenai kondisi usahanya. Tujuan penelitian ini adalah untuk menganalisis pengaruh latar belakang pendidikan serta pemberian informasi dan sosialisasi terhadap pemahaman pelaku UMKM dalam penyusunan laporan keuangan berdasarkan SAK EMKM pada UMKM di Kecamatan Bantan. Populasi dalam penelitian ini adalah 603 UMKM di Kecamatan Bantan. Teknik penentuan sampel menggunakan purposive sampling dengan rumus Slovin, sehingga diperoleh sampel sebanyak 86 UMKM. Jenis data yang digunakan adalah data primer dan data sekunder; data primer diperoleh melalui penyebaran kuesioner secara langsung kepada responden, sedangkan data sekunder diperoleh dari buku dan jurnal yang relevan. Teknik analisis data yang digunakan adalah analisis regresi linier berganda. Hasil penelitian menunjukkan bahwa: (a) latar belakang pendidikan berpengaruh positif dan signifikan terhadap pemahaman UMKM dalam penyusunan laporan keuangan berdasarkan SAK EMKM; (b) pemberian informasi dan sosialisasi berpengaruh positif dan signifikan terhadap pemahaman UMKM dalam penyusunan laporan keuangan berdasarkan SAK EMKM; dan (c) latar belakang pendidikan serta pemberian informasi dan sosialisasi berpengaruh secara serentak terhadap pemahaman UMKM dalam penyusunan laporan keuangan berdasarkan SAK EMKM. Ditinjau dari perspektif Islam, Allah SWT menganjurkan pencatatan yang benar dalam bermuamalah, sehingga kejujuran memiliki peran penting dalam praktik akuntansi.</w:t>
            </w:r>
          </w:p>
          <w:p w:rsidR="00D02178" w:rsidRDefault="00F34924">
            <w:r>
              <w:rPr>
                <w:i/>
                <w:iCs/>
              </w:rPr>
              <w:t xml:space="preserve">Ini adalah artikel akses terbuka di bawah lisensi </w:t>
            </w:r>
            <w:hyperlink r:id="rId7" w:history="1">
              <w:r>
                <w:rPr>
                  <w:i/>
                  <w:iCs/>
                  <w:color w:val="0000FF"/>
                  <w:u w:val="single"/>
                </w:rPr>
                <w:t>CC BY-SA</w:t>
              </w:r>
            </w:hyperlink>
            <w:r>
              <w:rPr>
                <w:i/>
                <w:iCs/>
              </w:rPr>
              <w:t>.</w:t>
            </w:r>
          </w:p>
        </w:tc>
      </w:tr>
    </w:tbl>
    <w:p w:rsidR="00D02178" w:rsidRDefault="00D02178">
      <w:pPr>
        <w:pBdr>
          <w:bottom w:val="single" w:sz="6" w:space="4" w:color="000000"/>
        </w:pBdr>
        <w:spacing w:before="200" w:after="150"/>
      </w:pPr>
    </w:p>
    <w:p w:rsidR="00D02178" w:rsidRDefault="00F34924">
      <w:r>
        <w:rPr>
          <w:b/>
          <w:bCs/>
          <w:i/>
          <w:iCs/>
        </w:rPr>
        <w:t>Corresponding Author:</w:t>
      </w:r>
    </w:p>
    <w:p w:rsidR="00D02178" w:rsidRDefault="00F34924">
      <w:pPr>
        <w:spacing w:before="100"/>
      </w:pPr>
      <w:r>
        <w:t>Nurfitriani</w:t>
      </w:r>
    </w:p>
    <w:p w:rsidR="00D02178" w:rsidRDefault="00F34924" w:rsidP="00525BAF">
      <w:r>
        <w:rPr>
          <w:b/>
          <w:bCs/>
        </w:rPr>
        <w:t>Program Studi Akuntansi Syariah</w:t>
      </w:r>
      <w:r w:rsidR="00525BAF">
        <w:t xml:space="preserve">, </w:t>
      </w:r>
      <w:r>
        <w:rPr>
          <w:b/>
          <w:bCs/>
        </w:rPr>
        <w:t>Institut Agama Islam Negeri (IAIN) Datuk Laksamana Bengkalis</w:t>
      </w:r>
    </w:p>
    <w:p w:rsidR="00D02178" w:rsidRDefault="00F34924">
      <w:r>
        <w:t>Email: nurfitriani@kampusmelayu.ac.id</w:t>
      </w:r>
    </w:p>
    <w:p w:rsidR="00D02178" w:rsidRDefault="00D02178">
      <w:pPr>
        <w:pBdr>
          <w:bottom w:val="single" w:sz="6" w:space="4" w:color="000000"/>
        </w:pBdr>
        <w:spacing w:before="150" w:after="200"/>
      </w:pPr>
    </w:p>
    <w:p w:rsidR="00D02178" w:rsidRDefault="00525BAF" w:rsidP="00525BAF">
      <w:pPr>
        <w:spacing w:before="200" w:after="100"/>
      </w:pPr>
      <w:r>
        <w:rPr>
          <w:b/>
          <w:bCs/>
          <w:color w:val="000000"/>
        </w:rPr>
        <w:t xml:space="preserve">1. PENDAHULUAN </w:t>
      </w:r>
    </w:p>
    <w:p w:rsidR="00D02178" w:rsidRDefault="00F34924">
      <w:pPr>
        <w:spacing w:after="100"/>
        <w:ind w:firstLine="431"/>
        <w:jc w:val="both"/>
      </w:pPr>
      <w:r>
        <w:t>Islam merupakan agama yang mengatur berbagai perilaku kehidupan manusia. Tidak hanya mengatur urusan dalam hal peribadahan saja, namun Islam juga mengatur urusan sosial dan ekonomi. Islam juga menghalalkan berbagai usaha seperti halnya perdagangan, perniagaan, atau jual beli yang di dalamnya termasuk bisnis [1]. Islam juga memiliki pedoman dalam mengarahkan umatnya dalam menjalankan bisnis tersebut, yaitu Al-Qur’an dan Sunnah Nabi. Sebagai sumber ajaran Islam, setidaknya dapat menawarkan prinsip-prinsip umum mengenai penerapan di dalam bisnis yang sesuai dengan perkembangan zaman [2].</w:t>
      </w:r>
    </w:p>
    <w:p w:rsidR="00D02178" w:rsidRDefault="00F34924">
      <w:pPr>
        <w:spacing w:after="100"/>
        <w:ind w:firstLine="431"/>
        <w:jc w:val="both"/>
      </w:pPr>
      <w:r>
        <w:t>Salah satu masalah kronis yang banyak menyita perhatian dunia adalah mengenai kemiskinan. Berbagai seminar dan pertemuan dilakukan dengan tujuan mengurangi atau bahkan menghilangkan kemiskinan di muka bumi ini. Upaya penanggulangan kemiskinan terus dilakukan dengan berbagai macam cara, salah satunya dengan memutus rantai kemiskinan melalui pemberdayaan kelompok dengan pengembangan microfinance, yaitu suatu model penyedia jasa keuangan bagi masyarakat yang memiliki usaha pada sektor paling kecil yang tidak dapat mengakses jasa bank karena berbagai keterbatasan [3].</w:t>
      </w:r>
    </w:p>
    <w:p w:rsidR="00D02178" w:rsidRDefault="00F34924">
      <w:pPr>
        <w:spacing w:after="100"/>
        <w:ind w:firstLine="431"/>
        <w:jc w:val="both"/>
      </w:pPr>
      <w:r>
        <w:t xml:space="preserve">Semakin maju perkembangan zaman dan perubahan pola hidup manusia menyebabkan kebutuhan manusia juga berubah, terutama dalam kebutuhan primer yang salah satunya adalah makanan dan minuman. Di sisi lain jumlah </w:t>
      </w:r>
      <w:r>
        <w:lastRenderedPageBreak/>
        <w:t>penduduk Indonesia yang setiap tahun terus meningkat menyebabkan kebutuhan masyarakat terhadap pangan semakin meningkat pula. Di era globalisasi seperti sekarang ini, perdagangan merupakan salah satu hal yang harus dilakukan oleh negara untuk memajukan perekonomiannya, baik secara mikro maupun makro. Menurut Kepala Badan Pusat Statistik, sumber pertumbuhan tertinggi berasal dari lapangan usaha industri diikuti pedagang besar maupun eceran, yang berdampak langsung pada peningkatan lapangan pekerjaan [4].</w:t>
      </w:r>
    </w:p>
    <w:p w:rsidR="00D02178" w:rsidRDefault="00F34924">
      <w:pPr>
        <w:spacing w:after="100"/>
        <w:ind w:firstLine="431"/>
        <w:jc w:val="both"/>
      </w:pPr>
      <w:r>
        <w:t>Usaha Mikro, Kecil, dan Menengah (UMKM) menggenggam peran penting dalam perekonomian Indonesia sebagai negara berkembang, sehingga mendorong laju pertumbuhan ekonomi dan pembangunan menuju arah positif [5]. UMKM mengalami beberapa tantangan dan faktor penentu logistik dibandingkan dengan perusahaan besar, karena alokasi anggaran yang rendah dan personel yang kecil. UMKM berperan sebagai upaya penanggulangan kemiskinan, membuka lapangan kerja, mensejahterakan masyarakat, serta sarana pemerataan pembangunan dalam mengatasi kesenjangan pendapatan antarwilayah. Melihat peran UMKM yang besar bagi Indonesia, UMKM perlu menerapkan pencatatan akuntansi yang baik dan benar, karena tidak semua UMKM menerapkannya sesuai dengan SAK.</w:t>
      </w:r>
    </w:p>
    <w:p w:rsidR="00D02178" w:rsidRDefault="00F34924">
      <w:pPr>
        <w:spacing w:after="100"/>
        <w:ind w:firstLine="431"/>
        <w:jc w:val="both"/>
      </w:pPr>
      <w:r>
        <w:t>SAK EMKM ditujukan untuk digunakan oleh entitas yang belum mampu memenuhi persyaratan akuntansi yang diatur SAK ETAP. Dalam SAK EMKM, laporan keuangan entitas disusun menggunakan asumsi dasar akrual dan kelangsungan usaha serta konsep entitas bisnis; penyusunan laporan keuangan bertujuan menyediakan informasi posisi dan kinerja keuangan suatu entitas yang bermanfaat bagi pengambilan keputusan ekonomi [6]. SAK EMKM diberlakukan sejak 1 Januari 2018 oleh Ikatan Akuntan Indonesia (IAI) agar UMKM lebih maju dan mandiri, misalnya dengan menyelenggarakan pencatatan atas laporan keuangan usahanya. Informasi akuntansi yang andal dapat membantu UMKM memperoleh kredit dari bank, memenuhi tujuan pelaporan pajak, maupun mendukung pengambilan keputusan internal seperti pengembangan pasar dan penetapan harga.</w:t>
      </w:r>
    </w:p>
    <w:p w:rsidR="00D02178" w:rsidRDefault="00F34924">
      <w:pPr>
        <w:spacing w:after="100"/>
        <w:ind w:firstLine="431"/>
        <w:jc w:val="both"/>
      </w:pPr>
      <w:r>
        <w:t xml:space="preserve">Tujuan umum pelaporan keuangan adalah menyajikan informasi yang berguna untuk pengambilan keputusan dan menunjukkan akuntabilitas entitas pelaporan atas sumber daya [7]. Latar belakang pendidikan adalah bidang studi atau jurusan yang ditempuh oleh pelaku UMKM, yang dapat membedakan tingkat pemahaman yang dimiliki oleh pengusaha UMKM [8]. Sosialisasi dan informasi merupakan </w:t>
      </w:r>
      <w:proofErr w:type="gramStart"/>
      <w:r>
        <w:t>cara</w:t>
      </w:r>
      <w:proofErr w:type="gramEnd"/>
      <w:r>
        <w:t xml:space="preserve"> untuk memperkenalkan dan membantu UMKM mengetahui serta memahami SAK EMKM, sehingga diharapkan dapat membantu UMKM dalam membuat laporan keuangan yang baik.</w:t>
      </w:r>
    </w:p>
    <w:p w:rsidR="00D02178" w:rsidRDefault="00F34924">
      <w:pPr>
        <w:spacing w:after="100"/>
        <w:ind w:firstLine="431"/>
        <w:jc w:val="both"/>
      </w:pPr>
      <w:r>
        <w:t>Exposure Draft SAK EMKM (ED SAK EMKM) disusun untuk memenuhi kebutuhan pelaporan keuangan entitas mikro, kecil, dan menengah yang belum mampu memenuhi persyaratan akuntansi dalam SAK ETAP. ED SAK EMKM tidak memberikan definisi dan kriteria kuantitatif entitas mikro, kecil, maupun menengah, sehingga Undang-Undang Nomor 20 Tahun 2008 tentang Usaha Mikro, Kecil, dan Menengah dapat digunakan sebagai acuan [9].</w:t>
      </w:r>
    </w:p>
    <w:p w:rsidR="00D02178" w:rsidRDefault="00F34924">
      <w:pPr>
        <w:spacing w:after="100"/>
        <w:ind w:firstLine="431"/>
        <w:jc w:val="both"/>
      </w:pPr>
      <w:r>
        <w:t xml:space="preserve">Faktor utama yang menentukan keberhasilan dan kegagalan UMKM adalah pengelolaan keuangan </w:t>
      </w:r>
      <w:proofErr w:type="gramStart"/>
      <w:r>
        <w:t>dana</w:t>
      </w:r>
      <w:proofErr w:type="gramEnd"/>
      <w:r>
        <w:t xml:space="preserve"> maupun modal yang dimiliki. Sebagian besar UMKM hanya mengandalkan modal pribadi tanpa pemisahan dengan </w:t>
      </w:r>
      <w:proofErr w:type="gramStart"/>
      <w:r>
        <w:t>dana</w:t>
      </w:r>
      <w:proofErr w:type="gramEnd"/>
      <w:r>
        <w:t xml:space="preserve"> usaha, sehingga membutuhkan suntikan dana dari pihak ketiga. Salah satu program pembiayaan pemerintah adalah Kredit Usaha Rakyat (KUR), namun realisasinya masih jauh dari target karena bank berhati-hati dalam menyalurkan kredit dan meminta informasi terkait kondisi UMKM, sementara mayoritas UMKM tidak dapat memberikan informasi akuntansi mengenai kondisi usahanya.</w:t>
      </w:r>
    </w:p>
    <w:p w:rsidR="00D02178" w:rsidRDefault="00F34924">
      <w:pPr>
        <w:spacing w:after="100"/>
        <w:ind w:firstLine="431"/>
        <w:jc w:val="both"/>
      </w:pPr>
      <w:r>
        <w:t xml:space="preserve">Provinsi Riau tak luput dari lajunya perkembangan UMKM yang terus meningkat, namun peningkatan ini tidak diimbangi dengan pengetahuan pelaku UMKM mengenai pengelolaan usahanya, termasuk ketidakselarasan antara modal dan akses pembiayaan. Kabupaten Bengkalis merupakan salah satu kabupaten dengan jumlah pelaku UMKM yang cukup tinggi di Provinsi Riau, dengan sebanyak 15.409 unit UMKM per 30 Juni 2021 menurut data Dinas Koperasi Usaha Kecil dan Menengah Kabupaten Bengkalis. Berdasarkan hasil wawancara dengan beberapa pelaku usaha di Kecamatan Bantan, pelaku usaha mengatakan bahwa mereka tidak menguasai dan tidak menerapkan sistem keuangan yang memadai, serta menganggap akuntansi terlalu rumit sehingga tidak ada pemisahan antara </w:t>
      </w:r>
      <w:proofErr w:type="gramStart"/>
      <w:r>
        <w:t>dana</w:t>
      </w:r>
      <w:proofErr w:type="gramEnd"/>
      <w:r>
        <w:t xml:space="preserve"> pribadi dan dana usaha, dan mereka pun tidak memahami isi SAK EMKM.</w:t>
      </w:r>
    </w:p>
    <w:p w:rsidR="00D02178" w:rsidRDefault="00F34924">
      <w:pPr>
        <w:spacing w:after="100"/>
        <w:ind w:firstLine="431"/>
        <w:jc w:val="both"/>
      </w:pPr>
      <w:r>
        <w:t xml:space="preserve">Pengusaha kecil beranggapan bahwa informasi keuangan tidak penting karena membutuhkan waktu dan biaya serta sulit diterapkan; hal terpenting bagi mereka adalah menghasilkan laba yang banyak tanpa repot menerapkan akuntansi [10]. Mereka merasa skala usaha yang kecil tidak membutuhkan laporan keuangan, sehingga tidak mencatat transaksi keuangan secara memadai. Dalam penyusunan laporan keuangan, pelaku UMKM masih mengalami masalah karena kurangnya tenaga ahli, persepsi bahwa pembukuan tidak penting, serta kurangnya kesadaran </w:t>
      </w:r>
      <w:proofErr w:type="gramStart"/>
      <w:r>
        <w:t>akan</w:t>
      </w:r>
      <w:proofErr w:type="gramEnd"/>
      <w:r>
        <w:t xml:space="preserve"> pentingnya penggunaan informasi akuntansi sesuai SAK EMKM. Berdasarkan permasalahan tersebut, peneliti tertarik untuk melakukan penelitian mengenai faktor-faktor yang memengaruhi pemahaman pelaku UMKM di Kecamatan Bantan dalam penyusunan laporan keuangan berdasarkan SAK EMKM ditinjau dari perspektif Islam.</w:t>
      </w:r>
    </w:p>
    <w:p w:rsidR="005E73FC" w:rsidRDefault="005E73FC">
      <w:pPr>
        <w:spacing w:after="100"/>
        <w:ind w:firstLine="431"/>
        <w:jc w:val="both"/>
      </w:pPr>
    </w:p>
    <w:p w:rsidR="005E73FC" w:rsidRDefault="005E73FC">
      <w:pPr>
        <w:spacing w:after="100"/>
        <w:ind w:firstLine="431"/>
        <w:jc w:val="both"/>
      </w:pPr>
    </w:p>
    <w:p w:rsidR="00D02178" w:rsidRDefault="00F34924" w:rsidP="006346A6">
      <w:pPr>
        <w:spacing w:before="200" w:after="100"/>
      </w:pPr>
      <w:r>
        <w:rPr>
          <w:b/>
          <w:bCs/>
          <w:color w:val="000000"/>
        </w:rPr>
        <w:lastRenderedPageBreak/>
        <w:t>2. METODE</w:t>
      </w:r>
      <w:r w:rsidR="006346A6">
        <w:rPr>
          <w:b/>
          <w:bCs/>
          <w:color w:val="000000"/>
        </w:rPr>
        <w:t>LOGI</w:t>
      </w:r>
      <w:r>
        <w:rPr>
          <w:b/>
          <w:bCs/>
          <w:color w:val="000000"/>
        </w:rPr>
        <w:t xml:space="preserve"> </w:t>
      </w:r>
    </w:p>
    <w:p w:rsidR="00D02178" w:rsidRDefault="00F34924" w:rsidP="004E6BE9">
      <w:pPr>
        <w:spacing w:after="100"/>
        <w:ind w:firstLine="431"/>
        <w:jc w:val="both"/>
      </w:pPr>
      <w:r>
        <w:t xml:space="preserve">Pendekatan yang digunakan dalam penelitian ini adalah pendekatan kuantitatif, yaitu pendekatan berupa angka-angka dan analisis menggunakan statistik [21]. Populasi merupakan wilayah generalisasi yang terdiri atas objek/subjek yang mempunyai karakteristik tertentu dan kesempatan yang </w:t>
      </w:r>
      <w:proofErr w:type="gramStart"/>
      <w:r>
        <w:t>sama</w:t>
      </w:r>
      <w:proofErr w:type="gramEnd"/>
      <w:r>
        <w:t xml:space="preserve"> untuk dipilih menjadi ang</w:t>
      </w:r>
      <w:r w:rsidR="004E6BE9">
        <w:t>gota sampel [22]</w:t>
      </w:r>
      <w:r>
        <w:t>. Populasi dalam penelitian ini adalah seluruh UMKM di Kecamatan Bantan yang berjumlah 603 unit.</w:t>
      </w:r>
    </w:p>
    <w:p w:rsidR="00D02178" w:rsidRDefault="00F34924">
      <w:pPr>
        <w:spacing w:after="100"/>
        <w:ind w:firstLine="431"/>
        <w:jc w:val="both"/>
      </w:pPr>
      <w:r>
        <w:t>Sampel adalah bagian dari sejumlah dan karakteristik yang dimiliki oleh populasi tersebut [14]. Bila populasi besar dan peneliti tidak memungkinkan mempelajari semua yang ada pada populasi, maka diambil beberapa sampel. Penelitian ini menggunakan metode purposive sampling, yaitu teknik penentuan sampel dengan pertimbangan tertentu untuk mendapatkan sampel yang mewakili sesuai kriteria yang ditentukan. Kriteria UMKM dalam penelitian ini yaitu:</w:t>
      </w:r>
    </w:p>
    <w:p w:rsidR="00D02178" w:rsidRDefault="00F34924">
      <w:pPr>
        <w:spacing w:after="60"/>
        <w:ind w:left="720" w:hanging="288"/>
        <w:jc w:val="both"/>
      </w:pPr>
      <w:r>
        <w:t>a. UMKM yang sudah berdiri minimal 1 tahun;</w:t>
      </w:r>
    </w:p>
    <w:p w:rsidR="00D02178" w:rsidRDefault="00F34924">
      <w:pPr>
        <w:spacing w:after="60"/>
        <w:ind w:left="720" w:hanging="288"/>
        <w:jc w:val="both"/>
      </w:pPr>
      <w:r>
        <w:t>b. UMKM yang masih aktif menjalankan usahanya;</w:t>
      </w:r>
    </w:p>
    <w:p w:rsidR="00D02178" w:rsidRDefault="00F34924">
      <w:pPr>
        <w:spacing w:after="60"/>
        <w:ind w:left="720" w:hanging="288"/>
        <w:jc w:val="both"/>
      </w:pPr>
      <w:r>
        <w:t>c. UMKM yang bersedia terlibat dalam penelitian ini.</w:t>
      </w:r>
    </w:p>
    <w:p w:rsidR="00D02178" w:rsidRDefault="00F34924">
      <w:pPr>
        <w:spacing w:after="100"/>
        <w:ind w:firstLine="431"/>
        <w:jc w:val="both"/>
      </w:pPr>
      <w:r>
        <w:t>Ukuran sampel dalam penelitian ini ditentukan menggunakan rumus Slovin sebagai berikut [22]:</w:t>
      </w:r>
    </w:p>
    <w:p w:rsidR="00D02178" w:rsidRDefault="00F34924">
      <w:pPr>
        <w:spacing w:before="100" w:after="100"/>
        <w:jc w:val="center"/>
      </w:pPr>
      <w:r>
        <w:rPr>
          <w:i/>
          <w:iCs/>
        </w:rPr>
        <w:t>n = N / (1 + N.e²)</w:t>
      </w:r>
    </w:p>
    <w:p w:rsidR="00D02178" w:rsidRDefault="00F34924">
      <w:pPr>
        <w:spacing w:after="100"/>
        <w:ind w:firstLine="431"/>
        <w:jc w:val="both"/>
      </w:pPr>
      <w:proofErr w:type="gramStart"/>
      <w:r>
        <w:t>dengan</w:t>
      </w:r>
      <w:proofErr w:type="gramEnd"/>
      <w:r>
        <w:t xml:space="preserve"> n adalah ukuran sampel, N adalah ukuran populasi, dan e adalah persen kelonggaran ketidaktelitian karena kesalahan pengambilan sampel yang masih dapat ditoleransi. Berdasarkan data UMKM yang diperoleh tahun 2021 dari Dinas Koperasi Usaha Kecil dan Menengah Kecamatan Bantan, jumlah UMKM yang aktif ada sebanyak 603 unit. Dengan N = 603 dan e = 10%, diperoleh:</w:t>
      </w:r>
    </w:p>
    <w:p w:rsidR="00D02178" w:rsidRDefault="00F34924">
      <w:pPr>
        <w:spacing w:before="100" w:after="100"/>
        <w:jc w:val="center"/>
      </w:pPr>
      <w:r>
        <w:rPr>
          <w:i/>
          <w:iCs/>
        </w:rPr>
        <w:t>n = 603 / (1 + 603</w:t>
      </w:r>
      <w:proofErr w:type="gramStart"/>
      <w:r>
        <w:rPr>
          <w:i/>
          <w:iCs/>
        </w:rPr>
        <w:t>.(</w:t>
      </w:r>
      <w:proofErr w:type="gramEnd"/>
      <w:r>
        <w:rPr>
          <w:i/>
          <w:iCs/>
        </w:rPr>
        <w:t>0,1)²) = 603 / (1 + 603.(0,01)) = 603 / 7,03 = 85,77</w:t>
      </w:r>
    </w:p>
    <w:p w:rsidR="00D02178" w:rsidRDefault="00F34924">
      <w:pPr>
        <w:spacing w:after="100"/>
        <w:ind w:firstLine="431"/>
        <w:jc w:val="both"/>
      </w:pPr>
      <w:r>
        <w:t xml:space="preserve">Nilai tersebut dibulatkan menjadi 86 responden sebagai sampel penelitian. Jenis data yang digunakan adalah data primer dan data sekunder. Data primer diperoleh dengan </w:t>
      </w:r>
      <w:proofErr w:type="gramStart"/>
      <w:r>
        <w:t>cara</w:t>
      </w:r>
      <w:proofErr w:type="gramEnd"/>
      <w:r>
        <w:t xml:space="preserve"> menyebarkan kuesioner secara langsung kepada responden, sedangkan data sekunder diperoleh dari buku-buku dan jurnal yang relevan dengan judul penelitian. Teknik analisis data yang digunakan adalah analisis regresi linier berganda, untuk menguji pengaruh latar belakang pendidikan (X1) dan pemberian informasi serta sosialisasi (X2) terhadap pemahaman UMKM dalam menyusun laporan keuangan berdasarkan SAK EMKM (Y).</w:t>
      </w:r>
    </w:p>
    <w:p w:rsidR="00D02178" w:rsidRDefault="00F34924" w:rsidP="00080522">
      <w:pPr>
        <w:spacing w:before="200" w:after="100"/>
      </w:pPr>
      <w:r>
        <w:rPr>
          <w:b/>
          <w:bCs/>
          <w:color w:val="000000"/>
        </w:rPr>
        <w:t xml:space="preserve">3. HASIL DAN PEMBAHASAN </w:t>
      </w:r>
    </w:p>
    <w:p w:rsidR="00D02178" w:rsidRDefault="00F34924">
      <w:pPr>
        <w:spacing w:after="100"/>
        <w:ind w:firstLine="431"/>
        <w:jc w:val="both"/>
      </w:pPr>
      <w:r>
        <w:t>Uji t digunakan untuk menguji signifikansi pengaruh latar belakang pendidikan (X1) dan pemberian informasi serta sosialisasi (X2) terhadap pemahaman UMKM dalam menyusun laporan keuangan berdasarkan SAK EMKM (Y). Jika nilai signifikansi &lt; 0</w:t>
      </w:r>
      <w:proofErr w:type="gramStart"/>
      <w:r>
        <w:t>,05</w:t>
      </w:r>
      <w:proofErr w:type="gramEnd"/>
      <w:r>
        <w:t>, maka variabel independen secara parsial berpengaruh terhadap variabel dependen. Hasil uji parsial tersebut adalah sebagai berikut.</w:t>
      </w:r>
    </w:p>
    <w:p w:rsidR="00D02178" w:rsidRDefault="00F34924">
      <w:pPr>
        <w:spacing w:before="150" w:after="80"/>
        <w:jc w:val="center"/>
      </w:pPr>
      <w:r>
        <w:rPr>
          <w:b/>
          <w:bCs/>
        </w:rPr>
        <w:t>Tabel 1. Hasil Uji t (Coefficients)</w:t>
      </w:r>
    </w:p>
    <w:tbl>
      <w:tblPr>
        <w:tblW w:w="936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60"/>
        <w:gridCol w:w="1550"/>
        <w:gridCol w:w="1550"/>
        <w:gridCol w:w="1550"/>
        <w:gridCol w:w="1550"/>
      </w:tblGrid>
      <w:tr w:rsidR="00D02178">
        <w:tc>
          <w:tcPr>
            <w:tcW w:w="3160" w:type="dxa"/>
            <w:tcBorders>
              <w:top w:val="single" w:sz="4" w:space="0" w:color="000000"/>
              <w:left w:val="none" w:sz="0" w:space="0" w:color="FFFFFF"/>
              <w:bottom w:val="single" w:sz="4" w:space="0" w:color="000000"/>
              <w:right w:val="none" w:sz="0" w:space="0" w:color="FFFFFF"/>
            </w:tcBorders>
            <w:shd w:val="clear" w:color="auto" w:fill="D9D9D9"/>
          </w:tcPr>
          <w:p w:rsidR="00D02178" w:rsidRDefault="00F34924">
            <w:r>
              <w:rPr>
                <w:b/>
                <w:bCs/>
                <w:sz w:val="18"/>
                <w:szCs w:val="18"/>
              </w:rPr>
              <w:t>Variabel</w:t>
            </w:r>
          </w:p>
        </w:tc>
        <w:tc>
          <w:tcPr>
            <w:tcW w:w="1550" w:type="dxa"/>
            <w:tcBorders>
              <w:top w:val="single" w:sz="4" w:space="0" w:color="000000"/>
              <w:left w:val="none" w:sz="0" w:space="0" w:color="FFFFFF"/>
              <w:bottom w:val="single" w:sz="4" w:space="0" w:color="000000"/>
              <w:right w:val="none" w:sz="0" w:space="0" w:color="FFFFFF"/>
            </w:tcBorders>
            <w:shd w:val="clear" w:color="auto" w:fill="D9D9D9"/>
          </w:tcPr>
          <w:p w:rsidR="00D02178" w:rsidRDefault="00F34924">
            <w:pPr>
              <w:jc w:val="center"/>
            </w:pPr>
            <w:r>
              <w:rPr>
                <w:b/>
                <w:bCs/>
                <w:sz w:val="18"/>
                <w:szCs w:val="18"/>
              </w:rPr>
              <w:t>B</w:t>
            </w:r>
          </w:p>
        </w:tc>
        <w:tc>
          <w:tcPr>
            <w:tcW w:w="1550" w:type="dxa"/>
            <w:tcBorders>
              <w:top w:val="single" w:sz="4" w:space="0" w:color="000000"/>
              <w:left w:val="none" w:sz="0" w:space="0" w:color="FFFFFF"/>
              <w:bottom w:val="single" w:sz="4" w:space="0" w:color="000000"/>
              <w:right w:val="none" w:sz="0" w:space="0" w:color="FFFFFF"/>
            </w:tcBorders>
            <w:shd w:val="clear" w:color="auto" w:fill="D9D9D9"/>
          </w:tcPr>
          <w:p w:rsidR="00D02178" w:rsidRDefault="00F34924">
            <w:pPr>
              <w:jc w:val="center"/>
            </w:pPr>
            <w:r>
              <w:rPr>
                <w:b/>
                <w:bCs/>
                <w:sz w:val="18"/>
                <w:szCs w:val="18"/>
              </w:rPr>
              <w:t>Std. Error</w:t>
            </w:r>
          </w:p>
        </w:tc>
        <w:tc>
          <w:tcPr>
            <w:tcW w:w="1550" w:type="dxa"/>
            <w:tcBorders>
              <w:top w:val="single" w:sz="4" w:space="0" w:color="000000"/>
              <w:left w:val="none" w:sz="0" w:space="0" w:color="FFFFFF"/>
              <w:bottom w:val="single" w:sz="4" w:space="0" w:color="000000"/>
              <w:right w:val="none" w:sz="0" w:space="0" w:color="FFFFFF"/>
            </w:tcBorders>
            <w:shd w:val="clear" w:color="auto" w:fill="D9D9D9"/>
          </w:tcPr>
          <w:p w:rsidR="00D02178" w:rsidRDefault="00F34924">
            <w:pPr>
              <w:jc w:val="center"/>
            </w:pPr>
            <w:r>
              <w:rPr>
                <w:b/>
                <w:bCs/>
                <w:sz w:val="18"/>
                <w:szCs w:val="18"/>
              </w:rPr>
              <w:t>Beta</w:t>
            </w:r>
          </w:p>
        </w:tc>
        <w:tc>
          <w:tcPr>
            <w:tcW w:w="1550" w:type="dxa"/>
            <w:tcBorders>
              <w:top w:val="single" w:sz="4" w:space="0" w:color="000000"/>
              <w:left w:val="none" w:sz="0" w:space="0" w:color="FFFFFF"/>
              <w:bottom w:val="single" w:sz="4" w:space="0" w:color="000000"/>
              <w:right w:val="none" w:sz="0" w:space="0" w:color="FFFFFF"/>
            </w:tcBorders>
            <w:shd w:val="clear" w:color="auto" w:fill="D9D9D9"/>
          </w:tcPr>
          <w:p w:rsidR="00D02178" w:rsidRDefault="00F34924">
            <w:pPr>
              <w:jc w:val="center"/>
            </w:pPr>
            <w:r>
              <w:rPr>
                <w:b/>
                <w:bCs/>
                <w:sz w:val="18"/>
                <w:szCs w:val="18"/>
              </w:rPr>
              <w:t>t</w:t>
            </w:r>
          </w:p>
        </w:tc>
      </w:tr>
      <w:tr w:rsidR="00D02178">
        <w:tc>
          <w:tcPr>
            <w:tcW w:w="3160" w:type="dxa"/>
            <w:tcBorders>
              <w:top w:val="single" w:sz="4" w:space="0" w:color="000000"/>
              <w:left w:val="none" w:sz="0" w:space="0" w:color="FFFFFF"/>
              <w:bottom w:val="single" w:sz="4" w:space="0" w:color="000000"/>
              <w:right w:val="none" w:sz="0" w:space="0" w:color="FFFFFF"/>
            </w:tcBorders>
          </w:tcPr>
          <w:p w:rsidR="00D02178" w:rsidRDefault="00F34924">
            <w:r>
              <w:rPr>
                <w:sz w:val="18"/>
                <w:szCs w:val="18"/>
              </w:rPr>
              <w:t>(Constant)</w:t>
            </w:r>
          </w:p>
        </w:tc>
        <w:tc>
          <w:tcPr>
            <w:tcW w:w="1550" w:type="dxa"/>
            <w:tcBorders>
              <w:top w:val="single" w:sz="4" w:space="0" w:color="000000"/>
              <w:left w:val="none" w:sz="0" w:space="0" w:color="FFFFFF"/>
              <w:bottom w:val="single" w:sz="4" w:space="0" w:color="000000"/>
              <w:right w:val="none" w:sz="0" w:space="0" w:color="FFFFFF"/>
            </w:tcBorders>
          </w:tcPr>
          <w:p w:rsidR="00D02178" w:rsidRDefault="00F34924">
            <w:pPr>
              <w:jc w:val="center"/>
            </w:pPr>
            <w:r>
              <w:rPr>
                <w:sz w:val="18"/>
                <w:szCs w:val="18"/>
              </w:rPr>
              <w:t>0,899</w:t>
            </w:r>
          </w:p>
        </w:tc>
        <w:tc>
          <w:tcPr>
            <w:tcW w:w="1550" w:type="dxa"/>
            <w:tcBorders>
              <w:top w:val="single" w:sz="4" w:space="0" w:color="000000"/>
              <w:left w:val="none" w:sz="0" w:space="0" w:color="FFFFFF"/>
              <w:bottom w:val="single" w:sz="4" w:space="0" w:color="000000"/>
              <w:right w:val="none" w:sz="0" w:space="0" w:color="FFFFFF"/>
            </w:tcBorders>
          </w:tcPr>
          <w:p w:rsidR="00D02178" w:rsidRDefault="00F34924">
            <w:pPr>
              <w:jc w:val="center"/>
            </w:pPr>
            <w:r>
              <w:rPr>
                <w:sz w:val="18"/>
                <w:szCs w:val="18"/>
              </w:rPr>
              <w:t>0,253</w:t>
            </w:r>
          </w:p>
        </w:tc>
        <w:tc>
          <w:tcPr>
            <w:tcW w:w="1550" w:type="dxa"/>
            <w:tcBorders>
              <w:top w:val="single" w:sz="4" w:space="0" w:color="000000"/>
              <w:left w:val="none" w:sz="0" w:space="0" w:color="FFFFFF"/>
              <w:bottom w:val="single" w:sz="4" w:space="0" w:color="000000"/>
              <w:right w:val="none" w:sz="0" w:space="0" w:color="FFFFFF"/>
            </w:tcBorders>
          </w:tcPr>
          <w:p w:rsidR="00D02178" w:rsidRDefault="00F34924">
            <w:pPr>
              <w:jc w:val="center"/>
            </w:pPr>
            <w:r>
              <w:rPr>
                <w:sz w:val="18"/>
                <w:szCs w:val="18"/>
              </w:rPr>
              <w:t>–</w:t>
            </w:r>
          </w:p>
        </w:tc>
        <w:tc>
          <w:tcPr>
            <w:tcW w:w="1550" w:type="dxa"/>
            <w:tcBorders>
              <w:top w:val="single" w:sz="4" w:space="0" w:color="000000"/>
              <w:left w:val="none" w:sz="0" w:space="0" w:color="FFFFFF"/>
              <w:bottom w:val="single" w:sz="4" w:space="0" w:color="000000"/>
              <w:right w:val="none" w:sz="0" w:space="0" w:color="FFFFFF"/>
            </w:tcBorders>
          </w:tcPr>
          <w:p w:rsidR="00D02178" w:rsidRDefault="00F34924">
            <w:pPr>
              <w:jc w:val="center"/>
            </w:pPr>
            <w:r>
              <w:rPr>
                <w:sz w:val="18"/>
                <w:szCs w:val="18"/>
              </w:rPr>
              <w:t>3,560</w:t>
            </w:r>
          </w:p>
        </w:tc>
      </w:tr>
      <w:tr w:rsidR="00D02178">
        <w:tc>
          <w:tcPr>
            <w:tcW w:w="3160" w:type="dxa"/>
            <w:tcBorders>
              <w:top w:val="single" w:sz="4" w:space="0" w:color="000000"/>
              <w:left w:val="none" w:sz="0" w:space="0" w:color="FFFFFF"/>
              <w:bottom w:val="single" w:sz="4" w:space="0" w:color="000000"/>
              <w:right w:val="none" w:sz="0" w:space="0" w:color="FFFFFF"/>
            </w:tcBorders>
          </w:tcPr>
          <w:p w:rsidR="00D02178" w:rsidRDefault="00F34924">
            <w:r>
              <w:rPr>
                <w:sz w:val="18"/>
                <w:szCs w:val="18"/>
              </w:rPr>
              <w:t>Latar Belakang Pendidikan</w:t>
            </w:r>
          </w:p>
        </w:tc>
        <w:tc>
          <w:tcPr>
            <w:tcW w:w="1550" w:type="dxa"/>
            <w:tcBorders>
              <w:top w:val="single" w:sz="4" w:space="0" w:color="000000"/>
              <w:left w:val="none" w:sz="0" w:space="0" w:color="FFFFFF"/>
              <w:bottom w:val="single" w:sz="4" w:space="0" w:color="000000"/>
              <w:right w:val="none" w:sz="0" w:space="0" w:color="FFFFFF"/>
            </w:tcBorders>
          </w:tcPr>
          <w:p w:rsidR="00D02178" w:rsidRDefault="00F34924">
            <w:pPr>
              <w:jc w:val="center"/>
            </w:pPr>
            <w:r>
              <w:rPr>
                <w:sz w:val="18"/>
                <w:szCs w:val="18"/>
              </w:rPr>
              <w:t>0,207</w:t>
            </w:r>
          </w:p>
        </w:tc>
        <w:tc>
          <w:tcPr>
            <w:tcW w:w="1550" w:type="dxa"/>
            <w:tcBorders>
              <w:top w:val="single" w:sz="4" w:space="0" w:color="000000"/>
              <w:left w:val="none" w:sz="0" w:space="0" w:color="FFFFFF"/>
              <w:bottom w:val="single" w:sz="4" w:space="0" w:color="000000"/>
              <w:right w:val="none" w:sz="0" w:space="0" w:color="FFFFFF"/>
            </w:tcBorders>
          </w:tcPr>
          <w:p w:rsidR="00D02178" w:rsidRDefault="00F34924">
            <w:pPr>
              <w:jc w:val="center"/>
            </w:pPr>
            <w:r>
              <w:rPr>
                <w:sz w:val="18"/>
                <w:szCs w:val="18"/>
              </w:rPr>
              <w:t>0,080</w:t>
            </w:r>
          </w:p>
        </w:tc>
        <w:tc>
          <w:tcPr>
            <w:tcW w:w="1550" w:type="dxa"/>
            <w:tcBorders>
              <w:top w:val="single" w:sz="4" w:space="0" w:color="000000"/>
              <w:left w:val="none" w:sz="0" w:space="0" w:color="FFFFFF"/>
              <w:bottom w:val="single" w:sz="4" w:space="0" w:color="000000"/>
              <w:right w:val="none" w:sz="0" w:space="0" w:color="FFFFFF"/>
            </w:tcBorders>
          </w:tcPr>
          <w:p w:rsidR="00D02178" w:rsidRDefault="00F34924">
            <w:pPr>
              <w:jc w:val="center"/>
            </w:pPr>
            <w:r>
              <w:rPr>
                <w:sz w:val="18"/>
                <w:szCs w:val="18"/>
              </w:rPr>
              <w:t>0,229</w:t>
            </w:r>
          </w:p>
        </w:tc>
        <w:tc>
          <w:tcPr>
            <w:tcW w:w="1550" w:type="dxa"/>
            <w:tcBorders>
              <w:top w:val="single" w:sz="4" w:space="0" w:color="000000"/>
              <w:left w:val="none" w:sz="0" w:space="0" w:color="FFFFFF"/>
              <w:bottom w:val="single" w:sz="4" w:space="0" w:color="000000"/>
              <w:right w:val="none" w:sz="0" w:space="0" w:color="FFFFFF"/>
            </w:tcBorders>
          </w:tcPr>
          <w:p w:rsidR="00D02178" w:rsidRDefault="00F34924">
            <w:pPr>
              <w:jc w:val="center"/>
            </w:pPr>
            <w:r>
              <w:rPr>
                <w:sz w:val="18"/>
                <w:szCs w:val="18"/>
              </w:rPr>
              <w:t>2,603</w:t>
            </w:r>
          </w:p>
        </w:tc>
      </w:tr>
      <w:tr w:rsidR="00D02178">
        <w:tc>
          <w:tcPr>
            <w:tcW w:w="3160" w:type="dxa"/>
            <w:tcBorders>
              <w:top w:val="single" w:sz="4" w:space="0" w:color="000000"/>
              <w:left w:val="none" w:sz="0" w:space="0" w:color="FFFFFF"/>
              <w:bottom w:val="single" w:sz="4" w:space="0" w:color="000000"/>
              <w:right w:val="none" w:sz="0" w:space="0" w:color="FFFFFF"/>
            </w:tcBorders>
          </w:tcPr>
          <w:p w:rsidR="00D02178" w:rsidRDefault="00F34924">
            <w:r>
              <w:rPr>
                <w:sz w:val="18"/>
                <w:szCs w:val="18"/>
              </w:rPr>
              <w:t>Pemberian Informasi dan Sosialisasi</w:t>
            </w:r>
          </w:p>
        </w:tc>
        <w:tc>
          <w:tcPr>
            <w:tcW w:w="1550" w:type="dxa"/>
            <w:tcBorders>
              <w:top w:val="single" w:sz="4" w:space="0" w:color="000000"/>
              <w:left w:val="none" w:sz="0" w:space="0" w:color="FFFFFF"/>
              <w:bottom w:val="single" w:sz="4" w:space="0" w:color="000000"/>
              <w:right w:val="none" w:sz="0" w:space="0" w:color="FFFFFF"/>
            </w:tcBorders>
          </w:tcPr>
          <w:p w:rsidR="00D02178" w:rsidRDefault="00F34924">
            <w:pPr>
              <w:jc w:val="center"/>
            </w:pPr>
            <w:r>
              <w:rPr>
                <w:sz w:val="18"/>
                <w:szCs w:val="18"/>
              </w:rPr>
              <w:t>0,567</w:t>
            </w:r>
          </w:p>
        </w:tc>
        <w:tc>
          <w:tcPr>
            <w:tcW w:w="1550" w:type="dxa"/>
            <w:tcBorders>
              <w:top w:val="single" w:sz="4" w:space="0" w:color="000000"/>
              <w:left w:val="none" w:sz="0" w:space="0" w:color="FFFFFF"/>
              <w:bottom w:val="single" w:sz="4" w:space="0" w:color="000000"/>
              <w:right w:val="none" w:sz="0" w:space="0" w:color="FFFFFF"/>
            </w:tcBorders>
          </w:tcPr>
          <w:p w:rsidR="00D02178" w:rsidRDefault="00F34924">
            <w:pPr>
              <w:jc w:val="center"/>
            </w:pPr>
            <w:r>
              <w:rPr>
                <w:sz w:val="18"/>
                <w:szCs w:val="18"/>
              </w:rPr>
              <w:t>0,081</w:t>
            </w:r>
          </w:p>
        </w:tc>
        <w:tc>
          <w:tcPr>
            <w:tcW w:w="1550" w:type="dxa"/>
            <w:tcBorders>
              <w:top w:val="single" w:sz="4" w:space="0" w:color="000000"/>
              <w:left w:val="none" w:sz="0" w:space="0" w:color="FFFFFF"/>
              <w:bottom w:val="single" w:sz="4" w:space="0" w:color="000000"/>
              <w:right w:val="none" w:sz="0" w:space="0" w:color="FFFFFF"/>
            </w:tcBorders>
          </w:tcPr>
          <w:p w:rsidR="00D02178" w:rsidRDefault="00F34924">
            <w:pPr>
              <w:jc w:val="center"/>
            </w:pPr>
            <w:r>
              <w:rPr>
                <w:sz w:val="18"/>
                <w:szCs w:val="18"/>
              </w:rPr>
              <w:t>0,615</w:t>
            </w:r>
          </w:p>
        </w:tc>
        <w:tc>
          <w:tcPr>
            <w:tcW w:w="1550" w:type="dxa"/>
            <w:tcBorders>
              <w:top w:val="single" w:sz="4" w:space="0" w:color="000000"/>
              <w:left w:val="none" w:sz="0" w:space="0" w:color="FFFFFF"/>
              <w:bottom w:val="single" w:sz="4" w:space="0" w:color="000000"/>
              <w:right w:val="none" w:sz="0" w:space="0" w:color="FFFFFF"/>
            </w:tcBorders>
          </w:tcPr>
          <w:p w:rsidR="00D02178" w:rsidRDefault="00F34924">
            <w:pPr>
              <w:jc w:val="center"/>
            </w:pPr>
            <w:r>
              <w:rPr>
                <w:sz w:val="18"/>
                <w:szCs w:val="18"/>
              </w:rPr>
              <w:t>6,980</w:t>
            </w:r>
          </w:p>
        </w:tc>
      </w:tr>
      <w:tr w:rsidR="00D02178">
        <w:tc>
          <w:tcPr>
            <w:tcW w:w="7810" w:type="dxa"/>
            <w:gridSpan w:val="4"/>
            <w:tcBorders>
              <w:top w:val="single" w:sz="4" w:space="0" w:color="000000"/>
              <w:left w:val="none" w:sz="0" w:space="0" w:color="FFFFFF"/>
              <w:bottom w:val="single" w:sz="4" w:space="0" w:color="000000"/>
              <w:right w:val="none" w:sz="0" w:space="0" w:color="FFFFFF"/>
            </w:tcBorders>
            <w:shd w:val="clear" w:color="auto" w:fill="D9D9D9"/>
          </w:tcPr>
          <w:p w:rsidR="00D02178" w:rsidRDefault="00F34924">
            <w:r>
              <w:rPr>
                <w:b/>
                <w:bCs/>
                <w:sz w:val="18"/>
                <w:szCs w:val="18"/>
              </w:rPr>
              <w:t>Variabel</w:t>
            </w:r>
          </w:p>
        </w:tc>
        <w:tc>
          <w:tcPr>
            <w:tcW w:w="1550" w:type="dxa"/>
            <w:tcBorders>
              <w:top w:val="single" w:sz="4" w:space="0" w:color="000000"/>
              <w:left w:val="none" w:sz="0" w:space="0" w:color="FFFFFF"/>
              <w:bottom w:val="single" w:sz="4" w:space="0" w:color="000000"/>
              <w:right w:val="none" w:sz="0" w:space="0" w:color="FFFFFF"/>
            </w:tcBorders>
            <w:shd w:val="clear" w:color="auto" w:fill="D9D9D9"/>
          </w:tcPr>
          <w:p w:rsidR="00D02178" w:rsidRDefault="00F34924">
            <w:pPr>
              <w:jc w:val="center"/>
            </w:pPr>
            <w:r>
              <w:rPr>
                <w:b/>
                <w:bCs/>
                <w:sz w:val="18"/>
                <w:szCs w:val="18"/>
              </w:rPr>
              <w:t>Sig.</w:t>
            </w:r>
          </w:p>
        </w:tc>
      </w:tr>
      <w:tr w:rsidR="00D02178">
        <w:tc>
          <w:tcPr>
            <w:tcW w:w="7810" w:type="dxa"/>
            <w:gridSpan w:val="4"/>
            <w:tcBorders>
              <w:top w:val="single" w:sz="4" w:space="0" w:color="000000"/>
              <w:left w:val="none" w:sz="0" w:space="0" w:color="FFFFFF"/>
              <w:bottom w:val="single" w:sz="4" w:space="0" w:color="000000"/>
              <w:right w:val="none" w:sz="0" w:space="0" w:color="FFFFFF"/>
            </w:tcBorders>
          </w:tcPr>
          <w:p w:rsidR="00D02178" w:rsidRDefault="00F34924">
            <w:r>
              <w:rPr>
                <w:sz w:val="18"/>
                <w:szCs w:val="18"/>
              </w:rPr>
              <w:t>(Constant)</w:t>
            </w:r>
          </w:p>
        </w:tc>
        <w:tc>
          <w:tcPr>
            <w:tcW w:w="1550" w:type="dxa"/>
            <w:tcBorders>
              <w:top w:val="single" w:sz="4" w:space="0" w:color="000000"/>
              <w:left w:val="none" w:sz="0" w:space="0" w:color="FFFFFF"/>
              <w:bottom w:val="single" w:sz="4" w:space="0" w:color="000000"/>
              <w:right w:val="none" w:sz="0" w:space="0" w:color="FFFFFF"/>
            </w:tcBorders>
          </w:tcPr>
          <w:p w:rsidR="00D02178" w:rsidRDefault="00F34924">
            <w:pPr>
              <w:jc w:val="center"/>
            </w:pPr>
            <w:r>
              <w:rPr>
                <w:sz w:val="18"/>
                <w:szCs w:val="18"/>
              </w:rPr>
              <w:t>0,001</w:t>
            </w:r>
          </w:p>
        </w:tc>
      </w:tr>
      <w:tr w:rsidR="00D02178">
        <w:tc>
          <w:tcPr>
            <w:tcW w:w="7810" w:type="dxa"/>
            <w:gridSpan w:val="4"/>
            <w:tcBorders>
              <w:top w:val="single" w:sz="4" w:space="0" w:color="000000"/>
              <w:left w:val="none" w:sz="0" w:space="0" w:color="FFFFFF"/>
              <w:bottom w:val="single" w:sz="4" w:space="0" w:color="000000"/>
              <w:right w:val="none" w:sz="0" w:space="0" w:color="FFFFFF"/>
            </w:tcBorders>
          </w:tcPr>
          <w:p w:rsidR="00D02178" w:rsidRDefault="00F34924">
            <w:r>
              <w:rPr>
                <w:sz w:val="18"/>
                <w:szCs w:val="18"/>
              </w:rPr>
              <w:t>Latar Belakang Pendidikan</w:t>
            </w:r>
          </w:p>
        </w:tc>
        <w:tc>
          <w:tcPr>
            <w:tcW w:w="1550" w:type="dxa"/>
            <w:tcBorders>
              <w:top w:val="single" w:sz="4" w:space="0" w:color="000000"/>
              <w:left w:val="none" w:sz="0" w:space="0" w:color="FFFFFF"/>
              <w:bottom w:val="single" w:sz="4" w:space="0" w:color="000000"/>
              <w:right w:val="none" w:sz="0" w:space="0" w:color="FFFFFF"/>
            </w:tcBorders>
          </w:tcPr>
          <w:p w:rsidR="00D02178" w:rsidRDefault="00F34924">
            <w:pPr>
              <w:jc w:val="center"/>
            </w:pPr>
            <w:r>
              <w:rPr>
                <w:sz w:val="18"/>
                <w:szCs w:val="18"/>
              </w:rPr>
              <w:t>0,011</w:t>
            </w:r>
          </w:p>
        </w:tc>
      </w:tr>
      <w:tr w:rsidR="00D02178">
        <w:tc>
          <w:tcPr>
            <w:tcW w:w="7810" w:type="dxa"/>
            <w:gridSpan w:val="4"/>
            <w:tcBorders>
              <w:top w:val="single" w:sz="4" w:space="0" w:color="000000"/>
              <w:left w:val="none" w:sz="0" w:space="0" w:color="FFFFFF"/>
              <w:bottom w:val="single" w:sz="4" w:space="0" w:color="000000"/>
              <w:right w:val="none" w:sz="0" w:space="0" w:color="FFFFFF"/>
            </w:tcBorders>
          </w:tcPr>
          <w:p w:rsidR="00D02178" w:rsidRDefault="00F34924">
            <w:r>
              <w:rPr>
                <w:sz w:val="18"/>
                <w:szCs w:val="18"/>
              </w:rPr>
              <w:t>Pemberian Informasi dan Sosialisasi</w:t>
            </w:r>
          </w:p>
        </w:tc>
        <w:tc>
          <w:tcPr>
            <w:tcW w:w="1550" w:type="dxa"/>
            <w:tcBorders>
              <w:top w:val="single" w:sz="4" w:space="0" w:color="000000"/>
              <w:left w:val="none" w:sz="0" w:space="0" w:color="FFFFFF"/>
              <w:bottom w:val="single" w:sz="4" w:space="0" w:color="000000"/>
              <w:right w:val="none" w:sz="0" w:space="0" w:color="FFFFFF"/>
            </w:tcBorders>
          </w:tcPr>
          <w:p w:rsidR="00D02178" w:rsidRDefault="00F34924">
            <w:pPr>
              <w:jc w:val="center"/>
            </w:pPr>
            <w:r>
              <w:rPr>
                <w:sz w:val="18"/>
                <w:szCs w:val="18"/>
              </w:rPr>
              <w:t>0,000</w:t>
            </w:r>
          </w:p>
        </w:tc>
      </w:tr>
    </w:tbl>
    <w:p w:rsidR="00D02178" w:rsidRDefault="00F34924">
      <w:pPr>
        <w:spacing w:after="150"/>
      </w:pPr>
      <w:r>
        <w:rPr>
          <w:i/>
          <w:iCs/>
        </w:rPr>
        <w:t>Variabel dependen: Pemahaman SAK EMKM. Sumber: Hasil pengolahan SPSS 25.0</w:t>
      </w:r>
    </w:p>
    <w:p w:rsidR="00D02178" w:rsidRDefault="00F34924">
      <w:pPr>
        <w:spacing w:before="150" w:after="100"/>
      </w:pPr>
      <w:r>
        <w:rPr>
          <w:b/>
          <w:bCs/>
          <w:color w:val="000000"/>
        </w:rPr>
        <w:t>3.1. Pengaruh Latar Belakang Pendidikan terhadap Pemahaman UMKM dalam Menyusun Laporan Keuangan Berdasarkan SAK EMKM di Kecamatan Bantan</w:t>
      </w:r>
    </w:p>
    <w:p w:rsidR="00D02178" w:rsidRDefault="00F34924">
      <w:pPr>
        <w:spacing w:after="100"/>
        <w:ind w:firstLine="431"/>
        <w:jc w:val="both"/>
      </w:pPr>
      <w:r>
        <w:t>Berdasarkan hasil pengujian parsial (uji t) diperoleh nilai signifikansi = 0,011 &lt; 0</w:t>
      </w:r>
      <w:proofErr w:type="gramStart"/>
      <w:r>
        <w:t>,05</w:t>
      </w:r>
      <w:proofErr w:type="gramEnd"/>
      <w:r>
        <w:t>, sehingga dapat disimpulkan bahwa latar belakang pendidikan berpengaruh signifikan terhadap pemahaman UMKM dalam menyusun laporan keuangan berdasarkan SAK EMKM. Dengan demikian, H1 yang menyatakan “latar belakang pendidikan berpengaruh positif terhadap pemahaman UMKM dalam menyusun laporan keuangan berdasarkan SAK EMKM” diterima.</w:t>
      </w:r>
    </w:p>
    <w:p w:rsidR="00D02178" w:rsidRDefault="00F34924">
      <w:pPr>
        <w:spacing w:after="100"/>
        <w:ind w:firstLine="431"/>
        <w:jc w:val="both"/>
      </w:pPr>
      <w:r>
        <w:t xml:space="preserve">Hasil tersebut menunjukkan bahwa latar belakang pendidikan terakhir pelaku usaha UMKM memengaruhi penyusunan laporan keuangan berdasarkan SAK EMKM. Pelaku UMKM dengan jenjang pendidikan formal yang rendah cenderung tidak memiliki persiapan dan penggunaan informasi akuntansi yang memadai dibandingkan dengan pelaku usaha yang memiliki latar belakang pendidikan yang lebih tinggi. Semakin rendah latar belakang pendidikan yang dimiliki pelaku usaha, semakin memengaruhi pemahaman UMKM dalam menyusun laporan keuangan berdasarkan SAK EMKM, dikarenakan tidak adanya pengetahuan dasar dan keterbatasan pengetahuan mengenai </w:t>
      </w:r>
      <w:r>
        <w:lastRenderedPageBreak/>
        <w:t>laporan keuangan, yang menjadi faktor utama tidak maksimalnya pemanfaatan modal yang ada. Hasil penelitian ini sesuai dengan penelitian Lestari dan Priyadi yang menyatakan bahwa latar belakang pendidikan berpengaruh positif terhadap pemahaman UMKM dalam menyusun laporan keuangan berdasarkan SAK EMKM [10].</w:t>
      </w:r>
    </w:p>
    <w:p w:rsidR="00D02178" w:rsidRDefault="00F34924">
      <w:pPr>
        <w:spacing w:before="150" w:after="100"/>
      </w:pPr>
      <w:r>
        <w:rPr>
          <w:b/>
          <w:bCs/>
          <w:color w:val="000000"/>
        </w:rPr>
        <w:t>3.2. Pengaruh Pemberian Informasi dan Sosialisasi terhadap Pemahaman UMKM dalam Menyusun Laporan Keuangan Berdasarkan SAK EMKM di Kecamatan Bantan</w:t>
      </w:r>
    </w:p>
    <w:p w:rsidR="00D02178" w:rsidRDefault="00F34924">
      <w:pPr>
        <w:spacing w:after="100"/>
        <w:ind w:firstLine="431"/>
        <w:jc w:val="both"/>
      </w:pPr>
      <w:r>
        <w:t>Berdasarkan hasil pengujian parsial (uji t) diperoleh nilai signifikansi = 0,000 &lt; 0</w:t>
      </w:r>
      <w:proofErr w:type="gramStart"/>
      <w:r>
        <w:t>,05</w:t>
      </w:r>
      <w:proofErr w:type="gramEnd"/>
      <w:r>
        <w:t>, sehingga dapat disimpulkan bahwa pemberian informasi dan sosialisasi berpengaruh positif dan signifikan terhadap pemahaman UMKM dalam menyusun laporan keuangan berdasarkan SAK EMKM.</w:t>
      </w:r>
    </w:p>
    <w:p w:rsidR="00D02178" w:rsidRDefault="00F34924">
      <w:pPr>
        <w:spacing w:after="100"/>
        <w:ind w:firstLine="431"/>
        <w:jc w:val="both"/>
      </w:pPr>
      <w:r>
        <w:t>Hasil penelitian menunjukkan bahwa pemberian informasi dan sosialisasi yang baik dapat membantu pemahaman UMKM dalam menyusun laporan keuangan berdasarkan SAK EMKM. Metode sosialisasi yang diharapkan oleh para pengusaha UMKM terkait SAK EMKM adalah pelatihan berkelanjutan dengan pemberian modul praktik, karena dinilai lebih efektif dibandingkan sosialisasi yang hanya bersifat seminar sehari dan lebih banyak memberikan teori dibandingkan praktik. Semakin besar pemberian informasi dan sosialisasi tentang SAK EMKM, semakin tinggi pula persepsi pelaku UMKM di Kecamatan Bantan mengenai pentingnya menyusun laporan keuangan berdasarkan SAK EMKM. Sebagian responden belum paham dalam menyusun laporan keuangan berdasarkan SAK EMKM karena kurangnya pemberian informasi dan sosialisasi yang diterima. Hasil penelitian ini sesuai dengan penelitian Silvia dan Azmi [?] yang menyatakan bahwa pemberian informasi dan sosialisasi berpengaruh positif terhadap pemahaman UMKM dalam menyusun laporan keuangan berdasarkan SAK EMKM.</w:t>
      </w:r>
    </w:p>
    <w:p w:rsidR="00D02178" w:rsidRDefault="00F34924" w:rsidP="00F17DAA">
      <w:pPr>
        <w:spacing w:before="200" w:after="100"/>
      </w:pPr>
      <w:r>
        <w:rPr>
          <w:b/>
          <w:bCs/>
          <w:color w:val="000000"/>
        </w:rPr>
        <w:t xml:space="preserve">4. </w:t>
      </w:r>
      <w:r w:rsidR="00F17DAA">
        <w:rPr>
          <w:b/>
          <w:bCs/>
          <w:color w:val="000000"/>
        </w:rPr>
        <w:t>KESIMPULAN</w:t>
      </w:r>
    </w:p>
    <w:p w:rsidR="00D02178" w:rsidRDefault="00F34924">
      <w:pPr>
        <w:spacing w:after="100"/>
        <w:ind w:firstLine="431"/>
        <w:jc w:val="both"/>
      </w:pPr>
      <w:r>
        <w:t xml:space="preserve">Berdasarkan hasil penelitian dan pembahasan yang telah dilakukan, dapat disimpulkan bahwa: pertama, latar belakang pendidikan sebagai variabel bebas berpengaruh positif dan signifikan terhadap pemahaman UMKM terhadap SAK EMKM sebagai variabel terikat. Kedua, pemberian informasi dan sosialisasi sebagai variabel bebas berpengaruh positif dan signifikan terhadap pemahaman UMKM dalam menyusun laporan keuangan berdasarkan SAK EMKM. Ketiga, latar belakang pendidikan serta pemberian informasi dan sosialisasi berpengaruh secara serentak terhadap pemahaman UMKM terhadap SAK EMKM di Kecamatan Bantan. Keempat, ditinjau dari perspektif Islam, Allah menganjurkan untuk melakukan pencatatan dengan benar ketika seseorang bermuamalah (tukar-menukar barang atau sesuatu yang memberi manfaat dengan </w:t>
      </w:r>
      <w:proofErr w:type="gramStart"/>
      <w:r>
        <w:t>cara</w:t>
      </w:r>
      <w:proofErr w:type="gramEnd"/>
      <w:r>
        <w:t xml:space="preserve"> yang ditempuhnya). Kejujuran mempunyai peran penting dalam akuntansi karena digunakan oleh pengguna dan pasar sebagai jaminan bahwa akuntan sebagai pembuat laporan dan auditor sebagai penguji laporan keuangan telah berusaha untuk jujur.</w:t>
      </w:r>
    </w:p>
    <w:p w:rsidR="00D02178" w:rsidRDefault="00F34924">
      <w:pPr>
        <w:spacing w:after="100"/>
        <w:ind w:firstLine="431"/>
        <w:jc w:val="both"/>
      </w:pPr>
      <w:r>
        <w:t>Berdasarkan hasil kesimpulan tersebut, penulis memberikan saran sebagai berikut: (1) bagi UMKM, agar bersedia membuat laporan keuangan berdasarkan SAK EMKM karena dengan laporan tersebut dapat diketahui perkembangan usaha untuk ke depannya; (2) bagi Dinas Koperasi dan UMKM di Kecamatan Bantan, agar lebih menggencarkan pemberian informasi dan sosialisasi kepada pelaku UMKM tentang penyusunan laporan keuangan berdasarkan SAK EMKM; (3) bagi peneliti selanjutnya, sebaiknya menyebarkan kuesioner dengan mendampingi responden dalam mengisi kuesioner agar maksud dan keinginan peneliti tercapai dengan jelas sehingga penelitian lebih realistis; dan (4) bagi peneliti selanjutnya yang berminat pada kajian yang sama, disarankan untuk menambahkan variabel lain seperti skala usaha, tingkat pendidikan, dan pemanfaatan teknologi yang diduga turut memengaruhi pemahaman pelaku UMKM dalam menyusun laporan keuangan berdasarkan SAK EMKM.</w:t>
      </w:r>
    </w:p>
    <w:p w:rsidR="00D02178" w:rsidRDefault="00F34924" w:rsidP="00F96847">
      <w:pPr>
        <w:spacing w:before="200" w:after="100"/>
      </w:pPr>
      <w:r>
        <w:rPr>
          <w:b/>
          <w:bCs/>
          <w:color w:val="000000"/>
        </w:rPr>
        <w:t xml:space="preserve">DAFTAR PUSTAKA </w:t>
      </w:r>
    </w:p>
    <w:p w:rsidR="00D02178" w:rsidRDefault="00F34924">
      <w:pPr>
        <w:spacing w:after="60"/>
        <w:ind w:left="431" w:hanging="431"/>
      </w:pPr>
      <w:r>
        <w:rPr>
          <w:sz w:val="16"/>
          <w:szCs w:val="16"/>
        </w:rPr>
        <w:t>[1] J. Arifin and A. Aziz, Etika Bisnis Islami. Semarang, Indonesia: Walisongo Press, 2009.</w:t>
      </w:r>
    </w:p>
    <w:p w:rsidR="00D02178" w:rsidRDefault="00F34924">
      <w:pPr>
        <w:spacing w:after="60"/>
        <w:ind w:left="431" w:hanging="431"/>
      </w:pPr>
      <w:r>
        <w:rPr>
          <w:sz w:val="16"/>
          <w:szCs w:val="16"/>
        </w:rPr>
        <w:t>[2] Muhamad, Etika Bisnis Islami. Yogyakarta, Indonesia: UPP AMP YKPN, 2004.</w:t>
      </w:r>
    </w:p>
    <w:p w:rsidR="00D02178" w:rsidRDefault="00F34924">
      <w:pPr>
        <w:spacing w:after="60"/>
        <w:ind w:left="431" w:hanging="431"/>
      </w:pPr>
      <w:r>
        <w:rPr>
          <w:sz w:val="16"/>
          <w:szCs w:val="16"/>
        </w:rPr>
        <w:t>[3] E. Amalia, Keadilan Distributif dalam Ekonomi Islam: Penguatan Peran LKM dan UKM di Indonesia. Jakarta, Indonesia: Raja Grafindo Persada, 2009.</w:t>
      </w:r>
    </w:p>
    <w:p w:rsidR="00D02178" w:rsidRDefault="00F34924">
      <w:pPr>
        <w:spacing w:after="60"/>
        <w:ind w:left="431" w:hanging="431"/>
      </w:pPr>
      <w:r>
        <w:rPr>
          <w:sz w:val="16"/>
          <w:szCs w:val="16"/>
        </w:rPr>
        <w:t>[4] S. F. Laucereno, “Pertumbuhan ekonomi 2018 meleset dari target, lebih tinggi dari 2017,” Finance.detik.com, 2019.</w:t>
      </w:r>
    </w:p>
    <w:p w:rsidR="00D02178" w:rsidRDefault="00F34924">
      <w:pPr>
        <w:spacing w:after="60"/>
        <w:ind w:left="431" w:hanging="431"/>
      </w:pPr>
      <w:r>
        <w:rPr>
          <w:sz w:val="16"/>
          <w:szCs w:val="16"/>
        </w:rPr>
        <w:t>[5] D. T. Ediraras, “Akuntansi dan kinerja UKM,” J. Ilmiah Ekon. Bisnis, vol. 15, no. 2, 2011.</w:t>
      </w:r>
    </w:p>
    <w:p w:rsidR="00D02178" w:rsidRDefault="00F34924">
      <w:pPr>
        <w:spacing w:after="60"/>
        <w:ind w:left="431" w:hanging="431"/>
      </w:pPr>
      <w:r>
        <w:rPr>
          <w:sz w:val="16"/>
          <w:szCs w:val="16"/>
        </w:rPr>
        <w:t>[6] Dewan Standar Akuntansi Keuangan, Standar Akuntansi Keuangan. Jakarta, Indonesia: Salemba Empat, 2007.</w:t>
      </w:r>
    </w:p>
    <w:p w:rsidR="00D02178" w:rsidRDefault="00F34924">
      <w:pPr>
        <w:spacing w:after="60"/>
        <w:ind w:left="431" w:hanging="431"/>
      </w:pPr>
      <w:r>
        <w:rPr>
          <w:sz w:val="16"/>
          <w:szCs w:val="16"/>
        </w:rPr>
        <w:t>[7] D. Suwanda and H. Santosa, Kebijakan Akuntansi Berbasis Akrual Berpedoman pada SAP. Bandung, Indonesia: PT Remaja Rosdakarya, 2014.</w:t>
      </w:r>
    </w:p>
    <w:p w:rsidR="00D02178" w:rsidRDefault="00F34924">
      <w:pPr>
        <w:spacing w:after="60"/>
        <w:ind w:left="431" w:hanging="431"/>
      </w:pPr>
      <w:r>
        <w:rPr>
          <w:sz w:val="16"/>
          <w:szCs w:val="16"/>
        </w:rPr>
        <w:t>[8] R. Hasani and R. N. Ainy, “Faktor-faktor yang mempengaruhi UMKM dalam menyusun laporan keuangan berdasarkan Standar Akuntansi Keuangan Entitas Mikro, Kecil dan Menengah (SAK EMKM),” Universitas Ahmad Dahlan, 2019.</w:t>
      </w:r>
    </w:p>
    <w:p w:rsidR="00D02178" w:rsidRDefault="00F34924">
      <w:pPr>
        <w:spacing w:after="60"/>
        <w:ind w:left="431" w:hanging="431"/>
      </w:pPr>
      <w:r>
        <w:rPr>
          <w:sz w:val="16"/>
          <w:szCs w:val="16"/>
        </w:rPr>
        <w:t>[9] Ikatan Akuntan Indonesia, Dewan Standar Akuntansi Keuangan. Jakarta, Indonesia, 2015.</w:t>
      </w:r>
    </w:p>
    <w:p w:rsidR="00D02178" w:rsidRDefault="00F34924">
      <w:pPr>
        <w:spacing w:after="60"/>
        <w:ind w:left="431" w:hanging="431"/>
      </w:pPr>
      <w:r>
        <w:rPr>
          <w:sz w:val="16"/>
          <w:szCs w:val="16"/>
        </w:rPr>
        <w:t>[10] W. S. Lestari and M. P. Priyadi, “Faktor-faktor yang mempengaruhi kualitas laporan keuangan berbasis SAK-ETAP pada UMKM,” J. Ilmu dan Riset Akunt. (JIRA), vol. 6, no. 10, 2017.</w:t>
      </w:r>
    </w:p>
    <w:p w:rsidR="00D02178" w:rsidRDefault="00F34924">
      <w:pPr>
        <w:spacing w:after="60"/>
        <w:ind w:left="431" w:hanging="431"/>
      </w:pPr>
      <w:r>
        <w:rPr>
          <w:sz w:val="16"/>
          <w:szCs w:val="16"/>
        </w:rPr>
        <w:t>[11] Akuntan Keuangan Entitas Tanpa Akuntabilitas Publik, Dewan Standar Akuntansi Keuangan Ikatan Akuntan Indonesia. Jakarta, Indonesia, n.d.</w:t>
      </w:r>
    </w:p>
    <w:p w:rsidR="00D02178" w:rsidRDefault="00F34924">
      <w:pPr>
        <w:spacing w:after="60"/>
        <w:ind w:left="431" w:hanging="431"/>
      </w:pPr>
      <w:r>
        <w:rPr>
          <w:sz w:val="16"/>
          <w:szCs w:val="16"/>
        </w:rPr>
        <w:lastRenderedPageBreak/>
        <w:t>[12] A. Purnomo and R. Adyaksana, “Meningkatkan penerapan SAK EMKM dengan persepsi usaha dan kesiapan pelaku UMKM,” J. Business Inf. Syst., vol. 3, no. 1, pp. 10–22, 2021.</w:t>
      </w:r>
    </w:p>
    <w:p w:rsidR="00D02178" w:rsidRDefault="00F34924">
      <w:pPr>
        <w:spacing w:after="60"/>
        <w:ind w:left="431" w:hanging="431"/>
      </w:pPr>
      <w:r>
        <w:rPr>
          <w:sz w:val="16"/>
          <w:szCs w:val="16"/>
        </w:rPr>
        <w:t>[13] S. A. Sulistyawati, “Pengaruh tingkat pendidikan, latar belakang pendidikan, ukuran usaha, pemberian informasi dan sosialisasi terhadap pemahaman UMKM dalam menyusun laporan keuangan berdasarkan SAK EMKM (studi kasus pada usaha kecil Kabupaten Tegal),” Universitas Pancasakti Tegal, 2020.</w:t>
      </w:r>
    </w:p>
    <w:p w:rsidR="00D02178" w:rsidRDefault="00F34924">
      <w:pPr>
        <w:spacing w:after="60"/>
        <w:ind w:left="431" w:hanging="431"/>
      </w:pPr>
      <w:r>
        <w:rPr>
          <w:sz w:val="16"/>
          <w:szCs w:val="16"/>
        </w:rPr>
        <w:t>[14] M. M. Firdaus, Metodologi Penelitian Kuantitatif: Dilengkapi Analisis Regresi IBM SPSS Statistics Version 26.0. Bandung, Indonesia: CV. Dotplus Publisher, 2021.</w:t>
      </w:r>
    </w:p>
    <w:p w:rsidR="00D02178" w:rsidRDefault="00F34924">
      <w:pPr>
        <w:spacing w:after="60"/>
        <w:ind w:left="431" w:hanging="431"/>
      </w:pPr>
      <w:r>
        <w:rPr>
          <w:sz w:val="16"/>
          <w:szCs w:val="16"/>
        </w:rPr>
        <w:t xml:space="preserve">[15] F. Firdaus, R. Hambali, and A. Ziani, “Analisis komparatif kinerja keuangan bank syariah di kawasan Asia Tenggara,” Inspirasi Ekon.: J. Ekon. </w:t>
      </w:r>
      <w:proofErr w:type="gramStart"/>
      <w:r>
        <w:rPr>
          <w:sz w:val="16"/>
          <w:szCs w:val="16"/>
        </w:rPr>
        <w:t>Manaj.,</w:t>
      </w:r>
      <w:proofErr w:type="gramEnd"/>
      <w:r>
        <w:rPr>
          <w:sz w:val="16"/>
          <w:szCs w:val="16"/>
        </w:rPr>
        <w:t xml:space="preserve"> vol. 5, no. 3, pp. 175–192, 2023.</w:t>
      </w:r>
    </w:p>
    <w:p w:rsidR="00D02178" w:rsidRDefault="00F34924">
      <w:pPr>
        <w:spacing w:after="60"/>
        <w:ind w:left="431" w:hanging="431"/>
      </w:pPr>
      <w:r>
        <w:rPr>
          <w:sz w:val="16"/>
          <w:szCs w:val="16"/>
        </w:rPr>
        <w:t>[16] D. A. Nurrafina, S. Yuliana, F. Firdaus, and I. Fakhruddin, “Islamic and conventional bank financial performance: A comparative study in Indonesia,” SIFEBRI’S, vol. 1, no. 1, pp. 85–95, 2023.</w:t>
      </w:r>
    </w:p>
    <w:p w:rsidR="00D02178" w:rsidRDefault="00F34924">
      <w:pPr>
        <w:spacing w:after="60"/>
        <w:ind w:left="431" w:hanging="431"/>
      </w:pPr>
      <w:r>
        <w:rPr>
          <w:sz w:val="16"/>
          <w:szCs w:val="16"/>
        </w:rPr>
        <w:t>[17] F. Firdaus, I. Fakhruddin, K. Fitradinata, and R. Hidayat, “The effect of ease of doing business (EODB) and corruption perceptions index (CPI) on foreign direct investment (FDI) in ASEAN,” Finansha: J. Sharia Financial Manag., vol. 5, no. 2, pp. 143–163, 2024.</w:t>
      </w:r>
    </w:p>
    <w:p w:rsidR="00D02178" w:rsidRDefault="00F34924">
      <w:pPr>
        <w:spacing w:after="60"/>
        <w:ind w:left="431" w:hanging="431"/>
      </w:pPr>
      <w:r>
        <w:rPr>
          <w:sz w:val="16"/>
          <w:szCs w:val="16"/>
        </w:rPr>
        <w:t>[18] S. Arikunto, Prosedur Penelitian. Jakarta, Indonesia: Rineka Cipta, 2010.</w:t>
      </w:r>
    </w:p>
    <w:p w:rsidR="00D02178" w:rsidRDefault="00F34924">
      <w:pPr>
        <w:spacing w:after="60"/>
        <w:ind w:left="431" w:hanging="431"/>
      </w:pPr>
      <w:r>
        <w:rPr>
          <w:sz w:val="16"/>
          <w:szCs w:val="16"/>
        </w:rPr>
        <w:t xml:space="preserve">[19] R. Rudiantoro and S. V. Siregar, “Kualitas laporan keuangan UMKM serta prospek implementasi SAK ETAP,” J. Akunt. </w:t>
      </w:r>
      <w:proofErr w:type="gramStart"/>
      <w:r>
        <w:rPr>
          <w:sz w:val="16"/>
          <w:szCs w:val="16"/>
        </w:rPr>
        <w:t>dan</w:t>
      </w:r>
      <w:proofErr w:type="gramEnd"/>
      <w:r>
        <w:rPr>
          <w:sz w:val="16"/>
          <w:szCs w:val="16"/>
        </w:rPr>
        <w:t xml:space="preserve"> Keuangan Indones., vol. 9, no. 1, p. 1, 2012.</w:t>
      </w:r>
    </w:p>
    <w:p w:rsidR="00D02178" w:rsidRDefault="00F34924">
      <w:pPr>
        <w:spacing w:after="60"/>
        <w:ind w:left="431" w:hanging="431"/>
      </w:pPr>
      <w:r>
        <w:rPr>
          <w:sz w:val="16"/>
          <w:szCs w:val="16"/>
        </w:rPr>
        <w:t>[20] N. B. Pratiwi and R. Hanafi, “Analisis faktor yang mempengaruhi penerapan Standar Akuntansi Keuangan Entitas Tanpa Akuntabilitas Publik (SAK ETAP) pada usaha mikro kecil dan menengah (UMKM),” J. Akunt. Indonesia, vol. 5, no. 1, pp. 79–98, 2016.</w:t>
      </w:r>
    </w:p>
    <w:p w:rsidR="00D02178" w:rsidRDefault="00F34924">
      <w:pPr>
        <w:spacing w:after="60"/>
        <w:ind w:left="431" w:hanging="431"/>
      </w:pPr>
      <w:r>
        <w:rPr>
          <w:sz w:val="16"/>
          <w:szCs w:val="16"/>
        </w:rPr>
        <w:t>[21] Sugiyono, Metode Penelitian Bisnis. Bandung, Indonesia: Alfabeta, 2018.</w:t>
      </w:r>
    </w:p>
    <w:p w:rsidR="00D02178" w:rsidRDefault="00F34924">
      <w:pPr>
        <w:spacing w:after="60"/>
        <w:ind w:left="431" w:hanging="431"/>
      </w:pPr>
      <w:r>
        <w:rPr>
          <w:sz w:val="16"/>
          <w:szCs w:val="16"/>
        </w:rPr>
        <w:t>[22] H. Umar, Metodologi Penelitian untuk Skripsi dan Tesis Bisnis. Jakarta, Indonesia: Rajawali Pers/Rajagrafindo Persada, 2014.</w:t>
      </w:r>
    </w:p>
    <w:p w:rsidR="00D02178" w:rsidRDefault="00D02178">
      <w:pPr>
        <w:spacing w:after="60"/>
        <w:ind w:left="431" w:hanging="431"/>
      </w:pPr>
    </w:p>
    <w:sectPr w:rsidR="00D02178">
      <w:headerReference w:type="even" r:id="rId8"/>
      <w:headerReference w:type="default" r:id="rId9"/>
      <w:footerReference w:type="even" r:id="rId10"/>
      <w:footerReference w:type="default" r:id="rId11"/>
      <w:headerReference w:type="first" r:id="rId12"/>
      <w:footerReference w:type="first" r:id="rId13"/>
      <w:pgSz w:w="11906" w:h="16838"/>
      <w:pgMar w:top="1411" w:right="1137" w:bottom="1137" w:left="1411"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4F5B" w:rsidRDefault="00544F5B">
      <w:r>
        <w:separator/>
      </w:r>
    </w:p>
  </w:endnote>
  <w:endnote w:type="continuationSeparator" w:id="0">
    <w:p w:rsidR="00544F5B" w:rsidRDefault="00544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771F" w:rsidRDefault="00AA771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2178" w:rsidRDefault="00D02178">
    <w:pPr>
      <w:pBdr>
        <w:top w:val="single" w:sz="6" w:space="4" w:color="000000"/>
      </w:pBdr>
    </w:pPr>
  </w:p>
  <w:p w:rsidR="00D02178" w:rsidRDefault="005E73FC" w:rsidP="005E73FC">
    <w:r w:rsidRPr="005E73FC">
      <w:rPr>
        <w:i/>
        <w:iCs/>
      </w:rPr>
      <w:t>https://ejournal.kampusmelayu.ac.id/index.php/tanjak</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771F" w:rsidRDefault="00AA77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4F5B" w:rsidRDefault="00544F5B">
      <w:r>
        <w:separator/>
      </w:r>
    </w:p>
  </w:footnote>
  <w:footnote w:type="continuationSeparator" w:id="0">
    <w:p w:rsidR="00544F5B" w:rsidRDefault="00544F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771F" w:rsidRDefault="00AA77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360"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7000"/>
      <w:gridCol w:w="2360"/>
    </w:tblGrid>
    <w:tr w:rsidR="00D02178">
      <w:tc>
        <w:tcPr>
          <w:tcW w:w="7000" w:type="dxa"/>
          <w:tcBorders>
            <w:top w:val="none" w:sz="0" w:space="0" w:color="FFFFFF"/>
            <w:left w:val="none" w:sz="0" w:space="0" w:color="FFFFFF"/>
            <w:bottom w:val="none" w:sz="0" w:space="0" w:color="FFFFFF"/>
            <w:right w:val="none" w:sz="0" w:space="0" w:color="FFFFFF"/>
          </w:tcBorders>
        </w:tcPr>
        <w:p w:rsidR="00D02178" w:rsidRDefault="00F34924">
          <w:r>
            <w:rPr>
              <w:b/>
              <w:bCs/>
            </w:rPr>
            <w:t>TANJAK; Jurnal Tinjauan Syariah</w:t>
          </w:r>
        </w:p>
        <w:p w:rsidR="00D02178" w:rsidRDefault="00F34924" w:rsidP="00525BAF">
          <w:r>
            <w:t xml:space="preserve">Vol. xx, No. x, </w:t>
          </w:r>
          <w:r w:rsidR="00525BAF">
            <w:t>Desember 2025</w:t>
          </w:r>
        </w:p>
        <w:p w:rsidR="00D02178" w:rsidRDefault="00F34924">
          <w:r>
            <w:t>ISSN: xxxx-xxxx, DOI: 10.xxxxx/tanjak.vxxixx.paperID</w:t>
          </w:r>
        </w:p>
      </w:tc>
      <w:tc>
        <w:tcPr>
          <w:tcW w:w="2360" w:type="dxa"/>
          <w:tcBorders>
            <w:top w:val="none" w:sz="0" w:space="0" w:color="FFFFFF"/>
            <w:left w:val="none" w:sz="0" w:space="0" w:color="FFFFFF"/>
            <w:bottom w:val="none" w:sz="0" w:space="0" w:color="FFFFFF"/>
            <w:right w:val="none" w:sz="0" w:space="0" w:color="FFFFFF"/>
          </w:tcBorders>
          <w:vAlign w:val="bottom"/>
        </w:tcPr>
        <w:p w:rsidR="00D02178" w:rsidRDefault="00D02178">
          <w:pPr>
            <w:jc w:val="right"/>
          </w:pPr>
        </w:p>
      </w:tc>
    </w:tr>
  </w:tbl>
  <w:p w:rsidR="00D02178" w:rsidRDefault="00D02178">
    <w:pPr>
      <w:pBdr>
        <w:bottom w:val="single" w:sz="6" w:space="4" w:color="00000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771F" w:rsidRDefault="00AA771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2E21728"/>
    <w:multiLevelType w:val="hybridMultilevel"/>
    <w:tmpl w:val="35DA75B0"/>
    <w:lvl w:ilvl="0" w:tplc="598A837C">
      <w:start w:val="1"/>
      <w:numFmt w:val="bullet"/>
      <w:lvlText w:val="●"/>
      <w:lvlJc w:val="left"/>
      <w:pPr>
        <w:ind w:left="720" w:hanging="360"/>
      </w:pPr>
    </w:lvl>
    <w:lvl w:ilvl="1" w:tplc="8A1242AA">
      <w:start w:val="1"/>
      <w:numFmt w:val="bullet"/>
      <w:lvlText w:val="○"/>
      <w:lvlJc w:val="left"/>
      <w:pPr>
        <w:ind w:left="1440" w:hanging="360"/>
      </w:pPr>
    </w:lvl>
    <w:lvl w:ilvl="2" w:tplc="D17ACA18">
      <w:start w:val="1"/>
      <w:numFmt w:val="bullet"/>
      <w:lvlText w:val="■"/>
      <w:lvlJc w:val="left"/>
      <w:pPr>
        <w:ind w:left="2160" w:hanging="360"/>
      </w:pPr>
    </w:lvl>
    <w:lvl w:ilvl="3" w:tplc="B4106D2C">
      <w:start w:val="1"/>
      <w:numFmt w:val="bullet"/>
      <w:lvlText w:val="●"/>
      <w:lvlJc w:val="left"/>
      <w:pPr>
        <w:ind w:left="2880" w:hanging="360"/>
      </w:pPr>
    </w:lvl>
    <w:lvl w:ilvl="4" w:tplc="99B0A254">
      <w:start w:val="1"/>
      <w:numFmt w:val="bullet"/>
      <w:lvlText w:val="○"/>
      <w:lvlJc w:val="left"/>
      <w:pPr>
        <w:ind w:left="3600" w:hanging="360"/>
      </w:pPr>
    </w:lvl>
    <w:lvl w:ilvl="5" w:tplc="EC3EBEF6">
      <w:start w:val="1"/>
      <w:numFmt w:val="bullet"/>
      <w:lvlText w:val="■"/>
      <w:lvlJc w:val="left"/>
      <w:pPr>
        <w:ind w:left="4320" w:hanging="360"/>
      </w:pPr>
    </w:lvl>
    <w:lvl w:ilvl="6" w:tplc="95067160">
      <w:start w:val="1"/>
      <w:numFmt w:val="bullet"/>
      <w:lvlText w:val="●"/>
      <w:lvlJc w:val="left"/>
      <w:pPr>
        <w:ind w:left="5040" w:hanging="360"/>
      </w:pPr>
    </w:lvl>
    <w:lvl w:ilvl="7" w:tplc="0BA056B0">
      <w:start w:val="1"/>
      <w:numFmt w:val="bullet"/>
      <w:lvlText w:val="●"/>
      <w:lvlJc w:val="left"/>
      <w:pPr>
        <w:ind w:left="5760" w:hanging="360"/>
      </w:pPr>
    </w:lvl>
    <w:lvl w:ilvl="8" w:tplc="249844FA">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isplayBackgroundShape/>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178"/>
    <w:rsid w:val="00080522"/>
    <w:rsid w:val="004A1021"/>
    <w:rsid w:val="004E6BE9"/>
    <w:rsid w:val="00525BAF"/>
    <w:rsid w:val="00544F5B"/>
    <w:rsid w:val="00545870"/>
    <w:rsid w:val="005E73FC"/>
    <w:rsid w:val="006346A6"/>
    <w:rsid w:val="007B6DB7"/>
    <w:rsid w:val="00AA771F"/>
    <w:rsid w:val="00BC3813"/>
    <w:rsid w:val="00D02178"/>
    <w:rsid w:val="00DE2EAF"/>
    <w:rsid w:val="00F17DAA"/>
    <w:rsid w:val="00F34924"/>
    <w:rsid w:val="00F9510E"/>
    <w:rsid w:val="00F9684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8411F3-EEF4-4F76-AB65-872F395C8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525BAF"/>
    <w:pPr>
      <w:tabs>
        <w:tab w:val="center" w:pos="4680"/>
        <w:tab w:val="right" w:pos="9360"/>
      </w:tabs>
    </w:pPr>
  </w:style>
  <w:style w:type="character" w:customStyle="1" w:styleId="HeaderChar">
    <w:name w:val="Header Char"/>
    <w:basedOn w:val="DefaultParagraphFont"/>
    <w:link w:val="Header"/>
    <w:uiPriority w:val="99"/>
    <w:rsid w:val="00525BAF"/>
  </w:style>
  <w:style w:type="paragraph" w:styleId="Footer">
    <w:name w:val="footer"/>
    <w:basedOn w:val="Normal"/>
    <w:link w:val="FooterChar"/>
    <w:uiPriority w:val="99"/>
    <w:unhideWhenUsed/>
    <w:rsid w:val="00525BAF"/>
    <w:pPr>
      <w:tabs>
        <w:tab w:val="center" w:pos="4680"/>
        <w:tab w:val="right" w:pos="9360"/>
      </w:tabs>
    </w:pPr>
  </w:style>
  <w:style w:type="character" w:customStyle="1" w:styleId="FooterChar">
    <w:name w:val="Footer Char"/>
    <w:basedOn w:val="DefaultParagraphFont"/>
    <w:link w:val="Footer"/>
    <w:uiPriority w:val="99"/>
    <w:rsid w:val="00525B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creativecommons.org/licenses/by-sa/4.0/"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3009</Words>
  <Characters>17154</Characters>
  <Application>Microsoft Office Word</Application>
  <DocSecurity>0</DocSecurity>
  <Lines>142</Lines>
  <Paragraphs>40</Paragraphs>
  <ScaleCrop>false</ScaleCrop>
  <Company/>
  <LinksUpToDate>false</LinksUpToDate>
  <CharactersWithSpaces>20123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 account</cp:lastModifiedBy>
  <cp:revision>15</cp:revision>
  <dcterms:created xsi:type="dcterms:W3CDTF">2026-09-17T09:51:00Z</dcterms:created>
  <dcterms:modified xsi:type="dcterms:W3CDTF">2026-09-17T23:24:00Z</dcterms:modified>
</cp:coreProperties>
</file>