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20F8" w:rsidRDefault="00A36F46">
      <w:pPr>
        <w:spacing w:after="200"/>
        <w:jc w:val="center"/>
      </w:pPr>
      <w:r>
        <w:rPr>
          <w:b/>
          <w:bCs/>
          <w:sz w:val="32"/>
          <w:szCs w:val="32"/>
        </w:rPr>
        <w:t>Pengaruh Kualitas Audit dan Komite Audit terhadap Kualitas Pelaporan Keuangan pada Perusahaan yang Terdaftar di Jakarta Islamic Index (JII)</w:t>
      </w:r>
    </w:p>
    <w:p w:rsidR="008F20F8" w:rsidRPr="00507337" w:rsidRDefault="00A36F46">
      <w:pPr>
        <w:jc w:val="center"/>
        <w:rPr>
          <w:b/>
          <w:bCs/>
        </w:rPr>
      </w:pPr>
      <w:r w:rsidRPr="00507337">
        <w:rPr>
          <w:b/>
          <w:bCs/>
        </w:rPr>
        <w:t>Nurul Hidayah</w:t>
      </w:r>
    </w:p>
    <w:p w:rsidR="008F20F8" w:rsidRDefault="00A36F46" w:rsidP="00507337">
      <w:pPr>
        <w:jc w:val="center"/>
        <w:rPr>
          <w:sz w:val="16"/>
          <w:szCs w:val="16"/>
        </w:rPr>
      </w:pPr>
      <w:r>
        <w:rPr>
          <w:sz w:val="16"/>
          <w:szCs w:val="16"/>
        </w:rPr>
        <w:t>Program Studi Akuntansi Syariah</w:t>
      </w:r>
      <w:r w:rsidR="00507337">
        <w:t xml:space="preserve">, </w:t>
      </w:r>
      <w:r>
        <w:rPr>
          <w:sz w:val="16"/>
          <w:szCs w:val="16"/>
        </w:rPr>
        <w:t>Institut Agama Islam Negeri (IAIN) Datuk Laksamana Bengkalis, Indonesia</w:t>
      </w:r>
    </w:p>
    <w:p w:rsidR="00507337" w:rsidRDefault="00507337" w:rsidP="00507337">
      <w:pPr>
        <w:jc w:val="center"/>
      </w:pPr>
    </w:p>
    <w:tbl>
      <w:tblPr>
        <w:tblW w:w="9360" w:type="dxa"/>
        <w:tblInd w:w="-10" w:type="dxa"/>
        <w:tblBorders>
          <w:top w:val="double" w:sz="4" w:space="0" w:color="auto"/>
        </w:tblBorders>
        <w:tblCellMar>
          <w:left w:w="10" w:type="dxa"/>
          <w:right w:w="10" w:type="dxa"/>
        </w:tblCellMar>
        <w:tblLook w:val="04A0" w:firstRow="1" w:lastRow="0" w:firstColumn="1" w:lastColumn="0" w:noHBand="0" w:noVBand="1"/>
      </w:tblPr>
      <w:tblGrid>
        <w:gridCol w:w="2800"/>
        <w:gridCol w:w="6560"/>
      </w:tblGrid>
      <w:tr w:rsidR="008F20F8" w:rsidTr="00507337">
        <w:tblPrEx>
          <w:tblCellMar>
            <w:top w:w="0" w:type="dxa"/>
            <w:bottom w:w="0" w:type="dxa"/>
          </w:tblCellMar>
        </w:tblPrEx>
        <w:tc>
          <w:tcPr>
            <w:tcW w:w="2800" w:type="dxa"/>
          </w:tcPr>
          <w:p w:rsidR="00507337" w:rsidRDefault="00507337">
            <w:pPr>
              <w:spacing w:after="200"/>
              <w:rPr>
                <w:b/>
                <w:bCs/>
                <w:i/>
                <w:iCs/>
              </w:rPr>
            </w:pPr>
          </w:p>
          <w:p w:rsidR="008F20F8" w:rsidRDefault="00A36F46">
            <w:pPr>
              <w:spacing w:after="200"/>
            </w:pPr>
            <w:r>
              <w:rPr>
                <w:b/>
                <w:bCs/>
                <w:i/>
                <w:iCs/>
              </w:rPr>
              <w:t>Article Info</w:t>
            </w:r>
          </w:p>
          <w:p w:rsidR="008F20F8" w:rsidRDefault="00A36F46">
            <w:r>
              <w:rPr>
                <w:b/>
                <w:bCs/>
                <w:i/>
                <w:iCs/>
              </w:rPr>
              <w:t>Article history:</w:t>
            </w:r>
          </w:p>
          <w:p w:rsidR="00947D0B" w:rsidRDefault="00947D0B"/>
          <w:p w:rsidR="00947D0B" w:rsidRDefault="00947D0B"/>
          <w:p w:rsidR="00947D0B" w:rsidRDefault="00947D0B"/>
          <w:p w:rsidR="00947D0B" w:rsidRDefault="00947D0B"/>
          <w:p w:rsidR="008F20F8" w:rsidRDefault="00A36F46">
            <w:r>
              <w:rPr>
                <w:b/>
                <w:bCs/>
                <w:i/>
                <w:iCs/>
              </w:rPr>
              <w:t>Keywords:</w:t>
            </w:r>
          </w:p>
          <w:p w:rsidR="008F20F8" w:rsidRDefault="00A36F46">
            <w:r>
              <w:t>Kualitas Pelaporan Keuangan</w:t>
            </w:r>
          </w:p>
          <w:p w:rsidR="008F20F8" w:rsidRDefault="00A36F46">
            <w:r>
              <w:t>Kualitas Audit</w:t>
            </w:r>
          </w:p>
          <w:p w:rsidR="008F20F8" w:rsidRDefault="00A36F46">
            <w:r>
              <w:t>Komite Audit</w:t>
            </w:r>
          </w:p>
        </w:tc>
        <w:tc>
          <w:tcPr>
            <w:tcW w:w="6560" w:type="dxa"/>
          </w:tcPr>
          <w:p w:rsidR="00507337" w:rsidRDefault="00507337">
            <w:pPr>
              <w:spacing w:after="100"/>
              <w:rPr>
                <w:b/>
                <w:bCs/>
              </w:rPr>
            </w:pPr>
          </w:p>
          <w:p w:rsidR="008F20F8" w:rsidRDefault="00A36F46" w:rsidP="00507337">
            <w:pPr>
              <w:spacing w:after="100"/>
            </w:pPr>
            <w:r>
              <w:rPr>
                <w:b/>
                <w:bCs/>
              </w:rPr>
              <w:t xml:space="preserve">ABSTRAK </w:t>
            </w:r>
          </w:p>
          <w:p w:rsidR="008F20F8" w:rsidRDefault="00A36F46" w:rsidP="009E66E3">
            <w:pPr>
              <w:spacing w:after="200"/>
              <w:jc w:val="both"/>
            </w:pPr>
            <w:r>
              <w:t>Penelit</w:t>
            </w:r>
            <w:r>
              <w:t>ian ini dilatarbelakangi oleh masih ditemukannya kasus manipulasi dan ketidaksesuaian laporan keuangan yang menunjukkan bahwa kualitas laporan keuangan menjadi isu penting dalam meningkatkan transparansi, akuntabilitas, dan kredibilitas informasi perusahaa</w:t>
            </w:r>
            <w:r>
              <w:t>n. Penelitian ini bertujuan untuk menganalisis pengaruh kualitas audit dan komite audit terhadap kualitas laporan keuangan pada perusahaan yang terdaftar di Jakarta Islamic Index (JII) periode 2020–2024. Penelitian menggunakan pendekatan kuantitatif dengan</w:t>
            </w:r>
            <w:r>
              <w:t xml:space="preserve"> data sekunder berupa laporan tahunan dan laporan keuangan perusahaan. Sampel penelitian ditentukan menggunakan teknik purposive sampling sehingga diperoleh 8 perusahaan yang memenuhi syarat. Analisis data dilakukan dengan metode regresi data panel menggun</w:t>
            </w:r>
            <w:r>
              <w:t>akan aplikasi EViews 13. Hasil penelitian menunjukkan bahwa kualitas audit berpengaruh terhadap kualitas laporan keuangan, sedangkan komite audit tidak berpengaruh terhadap kualitas laporan keuangan. Secara simultan, kualitas audit dan komite audit juga ti</w:t>
            </w:r>
            <w:r>
              <w:t>dak berpengaruh signifikan terhadap kualitas laporan keuangan. Temuan ini mengindikasikan bahwa kualitas laporan keuangan tidak hanya dipengaruhi oleh kualitas audit dan komite audit, tetapi juga oleh faktor lain seperti pengendalian internal, integritas m</w:t>
            </w:r>
            <w:r>
              <w:t>anajemen, dan penerapan tata kelola perusahaan yang baik</w:t>
            </w:r>
            <w:proofErr w:type="gramStart"/>
            <w:r>
              <w:t>.</w:t>
            </w:r>
            <w:r>
              <w:rPr>
                <w:i/>
                <w:iCs/>
              </w:rPr>
              <w:t>.</w:t>
            </w:r>
            <w:proofErr w:type="gramEnd"/>
          </w:p>
        </w:tc>
      </w:tr>
    </w:tbl>
    <w:p w:rsidR="008F20F8" w:rsidRDefault="008F20F8" w:rsidP="00941874">
      <w:pPr>
        <w:pBdr>
          <w:bottom w:val="single" w:sz="6" w:space="4" w:color="000000"/>
        </w:pBdr>
      </w:pPr>
    </w:p>
    <w:p w:rsidR="008F20F8" w:rsidRDefault="00A36F46" w:rsidP="00941874">
      <w:r>
        <w:rPr>
          <w:b/>
          <w:bCs/>
          <w:i/>
          <w:iCs/>
        </w:rPr>
        <w:t>Corresponding Author:</w:t>
      </w:r>
    </w:p>
    <w:p w:rsidR="008F20F8" w:rsidRDefault="00A36F46" w:rsidP="00941874">
      <w:r>
        <w:t>Nurul Hidayah</w:t>
      </w:r>
    </w:p>
    <w:p w:rsidR="008F20F8" w:rsidRDefault="00A36F46" w:rsidP="00941874">
      <w:r>
        <w:rPr>
          <w:b/>
          <w:bCs/>
        </w:rPr>
        <w:t>Program Studi Akuntansi Syariah</w:t>
      </w:r>
    </w:p>
    <w:p w:rsidR="008F20F8" w:rsidRDefault="00A36F46" w:rsidP="00941874">
      <w:r>
        <w:rPr>
          <w:b/>
          <w:bCs/>
        </w:rPr>
        <w:t>Institut Agama Islam Negeri (IAIN) Datuk Laksamana Bengkalis</w:t>
      </w:r>
    </w:p>
    <w:p w:rsidR="008F20F8" w:rsidRDefault="00A36F46" w:rsidP="00941874">
      <w:r>
        <w:t>Email: nurulhdyh2806@gmail.com</w:t>
      </w:r>
    </w:p>
    <w:p w:rsidR="008F20F8" w:rsidRDefault="008F20F8" w:rsidP="00941874">
      <w:pPr>
        <w:pBdr>
          <w:bottom w:val="single" w:sz="6" w:space="4" w:color="000000"/>
        </w:pBdr>
      </w:pPr>
    </w:p>
    <w:p w:rsidR="008F20F8" w:rsidRDefault="00B45B9E">
      <w:pPr>
        <w:spacing w:before="200" w:after="100"/>
      </w:pPr>
      <w:r>
        <w:rPr>
          <w:b/>
          <w:bCs/>
          <w:color w:val="000000"/>
        </w:rPr>
        <w:t xml:space="preserve">1. PENDAHULUAN </w:t>
      </w:r>
    </w:p>
    <w:p w:rsidR="008F20F8" w:rsidRDefault="00A36F46">
      <w:pPr>
        <w:spacing w:after="100"/>
        <w:ind w:firstLine="431"/>
        <w:jc w:val="both"/>
      </w:pPr>
      <w:r>
        <w:t>Perkembangan pasar modal syariah di Indonesia terus mengalami peningkatan seiring bertambahnya minat investor terhadap instrumen investasi yang sesuai dengan prinsip syariah. Salah satu indeks saham syariah yang menjadi acuan investor adalah Jakarta Islami</w:t>
      </w:r>
      <w:r>
        <w:t>c Index (JII), yang terdiri atas perusahaan-perusahaan yang memenuhi kriteria syariah dan memiliki tingkat likuiditas yang tinggi. Sebagai perusahaan publik, perusahaan yang tergabung dalam JII dituntut untuk menyajikan laporan keuangan yang berkualitas gu</w:t>
      </w:r>
      <w:r>
        <w:t>na menjamin transparansi, akuntabilitas, dan kredibilitas informasi kepada para pemangku kepentingan [1].</w:t>
      </w:r>
    </w:p>
    <w:p w:rsidR="008F20F8" w:rsidRDefault="00A36F46">
      <w:pPr>
        <w:spacing w:after="100"/>
        <w:ind w:firstLine="431"/>
        <w:jc w:val="both"/>
      </w:pPr>
      <w:r>
        <w:t>Kualitas pelaporan keuangan merupakan aspek penting karena menjadi dasar bagi investor, kreditor, dan pihak lainnya dalam mengambil keputusan ekonomi.</w:t>
      </w:r>
      <w:r>
        <w:t xml:space="preserve"> Laporan keuangan yang berkualitas harus mampu menyajikan informasi yang relevan, andal, dapat dibandingkan, dan mudah dipahami sehingga mencerminkan kondisi perusahaan yang sebenarnya. Dalam penelitian ini, kualitas pelaporan keuangan diproksikan dengan k</w:t>
      </w:r>
      <w:r>
        <w:t>ualitas laba (earnings quality), karena laba merupakan informasi utama yang digunakan untuk menilai kinerja dan prospek perusahaan [2].</w:t>
      </w:r>
    </w:p>
    <w:p w:rsidR="008F20F8" w:rsidRDefault="00A36F46">
      <w:pPr>
        <w:spacing w:after="100"/>
        <w:ind w:firstLine="431"/>
        <w:jc w:val="both"/>
      </w:pPr>
      <w:r>
        <w:t>Namun, masih terdapat berbagai kasus yang menunjukkan rendahnya kualitas pelaporan keuangan perusahaan. Kasus PT Indofar</w:t>
      </w:r>
      <w:r>
        <w:t>ma Tbk menunjukkan adanya indikasi transaksi fiktif yang mengakibatkan potensi kerugian negara sebesar Rp371,83 miliar [3], sedangkan PT Hanson International Tbk melakukan pengakuan pendapatan secara prematur dengan nilai koreksi pendapatan sekitar Rp613 m</w:t>
      </w:r>
      <w:r>
        <w:t>iliar [4]. Kasus tersebut menunjukkan bahwa laporan keuangan yang disajikan tidak selalu mencerminkan kondisi perusahaan yang sebenarnya sehingga dapat merugikan para pengguna informasi keuangan.</w:t>
      </w:r>
    </w:p>
    <w:p w:rsidR="008F20F8" w:rsidRDefault="00A36F46">
      <w:pPr>
        <w:spacing w:after="100"/>
        <w:ind w:firstLine="431"/>
        <w:jc w:val="both"/>
      </w:pPr>
      <w:r>
        <w:lastRenderedPageBreak/>
        <w:t>Dalam perspektif Teori Agensi (Agency Theory), konflik kepen</w:t>
      </w:r>
      <w:r>
        <w:t>tingan antara pemegang saham sebagai principal dan manajemen sebagai agent dapat menimbulkan asimetri informasi yang berdampak pada kualitas laporan keuangan. Oleh karena itu, diperlukan mekanisme pengawasan yang mampu mengurangi konflik tersebut, salah sa</w:t>
      </w:r>
      <w:r>
        <w:t>tunya melalui auditor independen dan komite audit. Auditor independen berperan dalam memeriksa kewajaran laporan keuangan, sedangkan komite audit bertugas mengawasi proses pelaporan keuangan, pengendalian internal, serta pelaksanaan audit perusahaan [5].</w:t>
      </w:r>
    </w:p>
    <w:p w:rsidR="008F20F8" w:rsidRDefault="00A36F46">
      <w:pPr>
        <w:spacing w:after="100"/>
        <w:ind w:firstLine="431"/>
        <w:jc w:val="both"/>
      </w:pPr>
      <w:r>
        <w:t>Kualitas audit merupakan kemampuan auditor dalam menemukan dan melaporkan kesalahan material dalam laporan keuangan. Auditor yang memiliki kompetensi dan independensi yang tinggi diharapkan mampu meningkatkan kredibilitas laporan keuangan yang dihasilkan [</w:t>
      </w:r>
      <w:r>
        <w:t>6]. Dalam penelitian ini, kualitas audit diukur menggunakan klasifikasi Kantor Akuntan Publik (KAP) Big Four dan Non Big Four. Sementara itu, komite audit merupakan komite yang dibentuk oleh dewan komisaris untuk membantu fungsi pengawasan perusahaan. Kebe</w:t>
      </w:r>
      <w:r>
        <w:t>radaan komite audit yang efektif diharapkan mampu meningkatkan kualitas pelaporan keuangan melalui pengawasan terhadap proses pelaporan dan pengendalian internal perusahaan [7].</w:t>
      </w:r>
    </w:p>
    <w:p w:rsidR="008F20F8" w:rsidRDefault="00A36F46">
      <w:pPr>
        <w:spacing w:after="100"/>
        <w:ind w:firstLine="431"/>
        <w:jc w:val="both"/>
      </w:pPr>
      <w:r>
        <w:t>Selain Teori Agensi, penelitian ini juga didukung oleh Teori Sinyal (Signaling</w:t>
      </w:r>
      <w:r>
        <w:t xml:space="preserve"> Theory) yang menjelaskan bahwa laporan keuangan merupakan sinyal yang diberikan perusahaan kepada investor mengenai kondisi dan prospek perusahaan. Informasi yang berkualitas </w:t>
      </w:r>
      <w:proofErr w:type="gramStart"/>
      <w:r>
        <w:t>akan</w:t>
      </w:r>
      <w:proofErr w:type="gramEnd"/>
      <w:r>
        <w:t xml:space="preserve"> memberikan sinyal positif sehingga dapat meningkatkan kepercayaan investor </w:t>
      </w:r>
      <w:r>
        <w:t>dalam pengambilan keputusan investasi [8].</w:t>
      </w:r>
    </w:p>
    <w:p w:rsidR="008F20F8" w:rsidRDefault="00A36F46">
      <w:pPr>
        <w:spacing w:after="100"/>
        <w:ind w:firstLine="431"/>
        <w:jc w:val="both"/>
      </w:pPr>
      <w:r>
        <w:t>Penelitian terdahulu menunjukkan hasil yang belum konsisten. Penelitian Ermawati dkk. menemukan bahwa kualitas audit dan komite audit berpengaruh terhadap kualitas pelaporan keuangan [9], sedangkan penelitian Sari</w:t>
      </w:r>
      <w:r>
        <w:t xml:space="preserve"> dan Muslim menunjukkan bahwa kualitas audit dan ukuran komite audit tidak berpengaruh terhadap kualitas pelaporan keuangan [10]. Perbedaan hasil tersebut menunjukkan adanya research gap yang masih perlu dikaji lebih lanjut. Selain itu, penelitian mengenai</w:t>
      </w:r>
      <w:r>
        <w:t xml:space="preserve"> kualitas audit dan komite audit pada perusahaan yang tergabung dalam Jakarta Islamic Index masih relatif terbatas dibandingkan perusahaan yang terdaftar pada indeks konvensional.</w:t>
      </w:r>
    </w:p>
    <w:p w:rsidR="008F20F8" w:rsidRDefault="00A36F46">
      <w:pPr>
        <w:spacing w:after="100"/>
        <w:ind w:firstLine="431"/>
        <w:jc w:val="both"/>
      </w:pPr>
      <w:r>
        <w:t>Kerangka penelitian ini menempatkan Kualitas Audit (X1) dan Komite Audit (X2</w:t>
      </w:r>
      <w:r>
        <w:t>) sebagai variabel independen yang memengaruhi Kualitas Laporan Keuangan (Y) sebagai variabel dependen. [Gambar kerangka penelitian pada naskah asli belum dapat disalin otomatis ke templat ini — mohon sisipkan kembali gambar aslinya di sini.] Berdasarkan k</w:t>
      </w:r>
      <w:r>
        <w:t>erangka tersebut, penelitian ini bertujuan untuk menganalisis pengaruh kualitas audit dan komite audit, baik secara parsial maupun simultan, terhadap kualitas pelaporan keuangan pada perusahaan yang terdaftar di Jakarta Islamic Index (JII) periode 2020–202</w:t>
      </w:r>
      <w:r>
        <w:t>4.</w:t>
      </w:r>
    </w:p>
    <w:p w:rsidR="008F20F8" w:rsidRDefault="00450769">
      <w:pPr>
        <w:spacing w:before="200" w:after="100"/>
      </w:pPr>
      <w:r>
        <w:rPr>
          <w:b/>
          <w:bCs/>
          <w:color w:val="000000"/>
        </w:rPr>
        <w:t>2. METODELOGI</w:t>
      </w:r>
    </w:p>
    <w:p w:rsidR="008F20F8" w:rsidRDefault="00A36F46">
      <w:pPr>
        <w:spacing w:after="100"/>
        <w:ind w:firstLine="431"/>
        <w:jc w:val="both"/>
      </w:pPr>
      <w:r>
        <w:t>Penelitian ini menggunakan pendekatan kuantitatif dengan data sekunder yang diperoleh dari laporan tahunan (annual report) dan laporan keuangan perusahaan yang terdaftar di Jakarta Islamic Index (JII) periode 2020–2024 [11]. Populasi d</w:t>
      </w:r>
      <w:r>
        <w:t>alam penelitian ini adalah seluruh perusahaan yang terdaftar di Jakarta Islamic Index selama periode pengamatan. Teknik pengambilan sampel menggunakan metode purposive sampling dengan kriteria tertentu sehingga diperoleh 8 perusahaan yang memenuhi syarat s</w:t>
      </w:r>
      <w:r>
        <w:t>ebagai sampel penelitian.</w:t>
      </w:r>
    </w:p>
    <w:p w:rsidR="008F20F8" w:rsidRDefault="00A36F46">
      <w:pPr>
        <w:spacing w:after="100"/>
        <w:ind w:firstLine="431"/>
        <w:jc w:val="both"/>
      </w:pPr>
      <w:r>
        <w:t xml:space="preserve">Variabel dependen dalam penelitian ini adalah kualitas pelaporan keuangan yang diproksikan menggunakan Quality of Earnings (QoE). Variabel independen terdiri dari kualitas audit dan komite audit. Kualitas audit diukur menggunakan </w:t>
      </w:r>
      <w:r>
        <w:t>variabel dummy, yaitu perusahaan yang diaudit oleh Kantor Akuntan Publik (KAP) Big Four diberi nilai 1 dan KAP Non Big Four diberi nilai 0. Komite audit diukur berdasarkan jumlah anggota komite audit yang dimiliki perusahaan.</w:t>
      </w:r>
    </w:p>
    <w:p w:rsidR="008F20F8" w:rsidRDefault="00A36F46">
      <w:pPr>
        <w:spacing w:after="100"/>
        <w:ind w:firstLine="431"/>
        <w:jc w:val="both"/>
      </w:pPr>
      <w:r>
        <w:t>Analisis data dilakukan menggu</w:t>
      </w:r>
      <w:r>
        <w:t xml:space="preserve">nakan regresi data panel dengan bantuan aplikasi EViews 13 [12]. Sebelum dilakukan pengujian hipotesis, terlebih dahulu dilakukan pemilihan model regresi data panel melalui uji Chow, uji Hausman, dan uji Lagrange Multiplier (LM). Selanjutnya dilakukan uji </w:t>
      </w:r>
      <w:r>
        <w:t>asumsi klasik yang meliputi uji normalitas, uji multikolinearitas, dan uji heteroskedastisitas. Pengujian hipotesis dilakukan menggunakan uji parsial (uji t), uji simultan (uji F), serta koefisien determinasi (Adjusted R²). Model regresi yang digunakan dal</w:t>
      </w:r>
      <w:r>
        <w:t>am penelitian ini adalah:</w:t>
      </w:r>
    </w:p>
    <w:p w:rsidR="008F20F8" w:rsidRDefault="00A36F46">
      <w:pPr>
        <w:spacing w:before="100" w:after="100"/>
        <w:jc w:val="center"/>
      </w:pPr>
      <w:r>
        <w:rPr>
          <w:i/>
          <w:iCs/>
        </w:rPr>
        <w:t>Y = α + β1X1 + β2X2 + e</w:t>
      </w:r>
    </w:p>
    <w:p w:rsidR="008F20F8" w:rsidRDefault="00A36F46">
      <w:pPr>
        <w:spacing w:after="100"/>
        <w:ind w:firstLine="431"/>
        <w:jc w:val="both"/>
      </w:pPr>
      <w:r>
        <w:t>dengan Y adalah kualitas pelaporan keuangan, α adalah konstanta, β1 dan β2 adalah koefisien regresi, X1 adalah kualitas audit, X2 adalah komite audit, dan e adalah error.</w:t>
      </w:r>
    </w:p>
    <w:p w:rsidR="00E64D00" w:rsidRDefault="00E64D00">
      <w:pPr>
        <w:spacing w:before="200" w:after="100"/>
        <w:rPr>
          <w:b/>
          <w:bCs/>
          <w:color w:val="000000"/>
        </w:rPr>
      </w:pPr>
    </w:p>
    <w:p w:rsidR="00E64D00" w:rsidRDefault="00E64D00">
      <w:pPr>
        <w:spacing w:before="200" w:after="100"/>
        <w:rPr>
          <w:b/>
          <w:bCs/>
          <w:color w:val="000000"/>
        </w:rPr>
      </w:pPr>
    </w:p>
    <w:p w:rsidR="00E64D00" w:rsidRDefault="00E64D00">
      <w:pPr>
        <w:spacing w:before="200" w:after="100"/>
        <w:rPr>
          <w:b/>
          <w:bCs/>
          <w:color w:val="000000"/>
        </w:rPr>
      </w:pPr>
    </w:p>
    <w:p w:rsidR="008F20F8" w:rsidRDefault="00E64D00">
      <w:pPr>
        <w:spacing w:before="200" w:after="100"/>
      </w:pPr>
      <w:r>
        <w:rPr>
          <w:b/>
          <w:bCs/>
          <w:color w:val="000000"/>
        </w:rPr>
        <w:lastRenderedPageBreak/>
        <w:t xml:space="preserve">3. HASIL DAN PEMBAHASAN </w:t>
      </w:r>
    </w:p>
    <w:p w:rsidR="008F20F8" w:rsidRDefault="00A36F46">
      <w:pPr>
        <w:spacing w:before="150" w:after="100"/>
      </w:pPr>
      <w:r>
        <w:rPr>
          <w:b/>
          <w:bCs/>
          <w:color w:val="000000"/>
        </w:rPr>
        <w:t>3.1</w:t>
      </w:r>
      <w:r>
        <w:rPr>
          <w:b/>
          <w:bCs/>
          <w:color w:val="000000"/>
        </w:rPr>
        <w:t>. Analisis Statistik Deskriptif</w:t>
      </w:r>
    </w:p>
    <w:p w:rsidR="008F20F8" w:rsidRDefault="00A36F46">
      <w:pPr>
        <w:spacing w:before="150" w:after="80"/>
        <w:jc w:val="center"/>
      </w:pPr>
      <w:r>
        <w:rPr>
          <w:b/>
          <w:bCs/>
        </w:rPr>
        <w:t>Tabel 1. Hasil Analisis Statistik Deskriptif</w:t>
      </w:r>
    </w:p>
    <w:tbl>
      <w:tblPr>
        <w:tblW w:w="936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60"/>
        <w:gridCol w:w="2200"/>
        <w:gridCol w:w="2200"/>
        <w:gridCol w:w="2200"/>
      </w:tblGrid>
      <w:tr w:rsidR="008F20F8">
        <w:tblPrEx>
          <w:tblCellMar>
            <w:top w:w="0" w:type="dxa"/>
            <w:bottom w:w="0" w:type="dxa"/>
          </w:tblCellMar>
        </w:tblPrEx>
        <w:tc>
          <w:tcPr>
            <w:tcW w:w="2760" w:type="dxa"/>
            <w:tcBorders>
              <w:top w:val="single" w:sz="4" w:space="0" w:color="000000"/>
              <w:left w:val="none" w:sz="0" w:space="0" w:color="FFFFFF"/>
              <w:bottom w:val="single" w:sz="4" w:space="0" w:color="000000"/>
              <w:right w:val="none" w:sz="0" w:space="0" w:color="FFFFFF"/>
            </w:tcBorders>
            <w:shd w:val="clear" w:color="auto" w:fill="D9D9D9"/>
          </w:tcPr>
          <w:p w:rsidR="008F20F8" w:rsidRDefault="008F20F8">
            <w:pPr>
              <w:jc w:val="center"/>
            </w:pPr>
          </w:p>
        </w:tc>
        <w:tc>
          <w:tcPr>
            <w:tcW w:w="2200" w:type="dxa"/>
            <w:tcBorders>
              <w:top w:val="single" w:sz="4" w:space="0" w:color="000000"/>
              <w:left w:val="none" w:sz="0" w:space="0" w:color="FFFFFF"/>
              <w:bottom w:val="single" w:sz="4" w:space="0" w:color="000000"/>
              <w:right w:val="none" w:sz="0" w:space="0" w:color="FFFFFF"/>
            </w:tcBorders>
            <w:shd w:val="clear" w:color="auto" w:fill="D9D9D9"/>
          </w:tcPr>
          <w:p w:rsidR="008F20F8" w:rsidRDefault="00A36F46">
            <w:pPr>
              <w:jc w:val="center"/>
            </w:pPr>
            <w:r>
              <w:rPr>
                <w:b/>
                <w:bCs/>
                <w:sz w:val="18"/>
                <w:szCs w:val="18"/>
              </w:rPr>
              <w:t>Y</w:t>
            </w:r>
          </w:p>
        </w:tc>
        <w:tc>
          <w:tcPr>
            <w:tcW w:w="2200" w:type="dxa"/>
            <w:tcBorders>
              <w:top w:val="single" w:sz="4" w:space="0" w:color="000000"/>
              <w:left w:val="none" w:sz="0" w:space="0" w:color="FFFFFF"/>
              <w:bottom w:val="single" w:sz="4" w:space="0" w:color="000000"/>
              <w:right w:val="none" w:sz="0" w:space="0" w:color="FFFFFF"/>
            </w:tcBorders>
            <w:shd w:val="clear" w:color="auto" w:fill="D9D9D9"/>
          </w:tcPr>
          <w:p w:rsidR="008F20F8" w:rsidRDefault="00A36F46">
            <w:pPr>
              <w:jc w:val="center"/>
            </w:pPr>
            <w:r>
              <w:rPr>
                <w:b/>
                <w:bCs/>
                <w:sz w:val="18"/>
                <w:szCs w:val="18"/>
              </w:rPr>
              <w:t>X1</w:t>
            </w:r>
          </w:p>
        </w:tc>
        <w:tc>
          <w:tcPr>
            <w:tcW w:w="2200" w:type="dxa"/>
            <w:tcBorders>
              <w:top w:val="single" w:sz="4" w:space="0" w:color="000000"/>
              <w:left w:val="none" w:sz="0" w:space="0" w:color="FFFFFF"/>
              <w:bottom w:val="single" w:sz="4" w:space="0" w:color="000000"/>
              <w:right w:val="none" w:sz="0" w:space="0" w:color="FFFFFF"/>
            </w:tcBorders>
            <w:shd w:val="clear" w:color="auto" w:fill="D9D9D9"/>
          </w:tcPr>
          <w:p w:rsidR="008F20F8" w:rsidRDefault="00A36F46">
            <w:pPr>
              <w:jc w:val="center"/>
            </w:pPr>
            <w:r>
              <w:rPr>
                <w:b/>
                <w:bCs/>
                <w:sz w:val="18"/>
                <w:szCs w:val="18"/>
              </w:rPr>
              <w:t>X2</w:t>
            </w:r>
          </w:p>
        </w:tc>
      </w:tr>
      <w:tr w:rsidR="008F20F8">
        <w:tblPrEx>
          <w:tblCellMar>
            <w:top w:w="0" w:type="dxa"/>
            <w:bottom w:w="0" w:type="dxa"/>
          </w:tblCellMar>
        </w:tblPrEx>
        <w:tc>
          <w:tcPr>
            <w:tcW w:w="2760" w:type="dxa"/>
            <w:tcBorders>
              <w:top w:val="single" w:sz="4" w:space="0" w:color="000000"/>
              <w:left w:val="none" w:sz="0" w:space="0" w:color="FFFFFF"/>
              <w:bottom w:val="single" w:sz="4" w:space="0" w:color="000000"/>
              <w:right w:val="none" w:sz="0" w:space="0" w:color="FFFFFF"/>
            </w:tcBorders>
          </w:tcPr>
          <w:p w:rsidR="008F20F8" w:rsidRDefault="00A36F46">
            <w:r>
              <w:rPr>
                <w:sz w:val="18"/>
                <w:szCs w:val="18"/>
              </w:rPr>
              <w:t>Mean</w:t>
            </w:r>
          </w:p>
        </w:tc>
        <w:tc>
          <w:tcPr>
            <w:tcW w:w="2200"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2,446200</w:t>
            </w:r>
          </w:p>
        </w:tc>
        <w:tc>
          <w:tcPr>
            <w:tcW w:w="2200"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0,920000</w:t>
            </w:r>
          </w:p>
        </w:tc>
        <w:tc>
          <w:tcPr>
            <w:tcW w:w="2200"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3,740000</w:t>
            </w:r>
          </w:p>
        </w:tc>
      </w:tr>
      <w:tr w:rsidR="008F20F8">
        <w:tblPrEx>
          <w:tblCellMar>
            <w:top w:w="0" w:type="dxa"/>
            <w:bottom w:w="0" w:type="dxa"/>
          </w:tblCellMar>
        </w:tblPrEx>
        <w:tc>
          <w:tcPr>
            <w:tcW w:w="2760" w:type="dxa"/>
            <w:tcBorders>
              <w:top w:val="single" w:sz="4" w:space="0" w:color="000000"/>
              <w:left w:val="none" w:sz="0" w:space="0" w:color="FFFFFF"/>
              <w:bottom w:val="single" w:sz="4" w:space="0" w:color="000000"/>
              <w:right w:val="none" w:sz="0" w:space="0" w:color="FFFFFF"/>
            </w:tcBorders>
          </w:tcPr>
          <w:p w:rsidR="008F20F8" w:rsidRDefault="00A36F46">
            <w:r>
              <w:rPr>
                <w:sz w:val="18"/>
                <w:szCs w:val="18"/>
              </w:rPr>
              <w:t>Median</w:t>
            </w:r>
          </w:p>
        </w:tc>
        <w:tc>
          <w:tcPr>
            <w:tcW w:w="2200"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1,475000</w:t>
            </w:r>
          </w:p>
        </w:tc>
        <w:tc>
          <w:tcPr>
            <w:tcW w:w="2200"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1,000000</w:t>
            </w:r>
          </w:p>
        </w:tc>
        <w:tc>
          <w:tcPr>
            <w:tcW w:w="2200"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3,500000</w:t>
            </w:r>
          </w:p>
        </w:tc>
      </w:tr>
      <w:tr w:rsidR="008F20F8">
        <w:tblPrEx>
          <w:tblCellMar>
            <w:top w:w="0" w:type="dxa"/>
            <w:bottom w:w="0" w:type="dxa"/>
          </w:tblCellMar>
        </w:tblPrEx>
        <w:tc>
          <w:tcPr>
            <w:tcW w:w="2760" w:type="dxa"/>
            <w:tcBorders>
              <w:top w:val="single" w:sz="4" w:space="0" w:color="000000"/>
              <w:left w:val="none" w:sz="0" w:space="0" w:color="FFFFFF"/>
              <w:bottom w:val="single" w:sz="4" w:space="0" w:color="000000"/>
              <w:right w:val="none" w:sz="0" w:space="0" w:color="FFFFFF"/>
            </w:tcBorders>
          </w:tcPr>
          <w:p w:rsidR="008F20F8" w:rsidRDefault="00A36F46">
            <w:r>
              <w:rPr>
                <w:sz w:val="18"/>
                <w:szCs w:val="18"/>
              </w:rPr>
              <w:t>Maximum</w:t>
            </w:r>
          </w:p>
        </w:tc>
        <w:tc>
          <w:tcPr>
            <w:tcW w:w="2200"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12,67000</w:t>
            </w:r>
          </w:p>
        </w:tc>
        <w:tc>
          <w:tcPr>
            <w:tcW w:w="2200"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1,000000</w:t>
            </w:r>
          </w:p>
        </w:tc>
        <w:tc>
          <w:tcPr>
            <w:tcW w:w="2200"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7,000000</w:t>
            </w:r>
          </w:p>
        </w:tc>
      </w:tr>
      <w:tr w:rsidR="008F20F8">
        <w:tblPrEx>
          <w:tblCellMar>
            <w:top w:w="0" w:type="dxa"/>
            <w:bottom w:w="0" w:type="dxa"/>
          </w:tblCellMar>
        </w:tblPrEx>
        <w:tc>
          <w:tcPr>
            <w:tcW w:w="2760" w:type="dxa"/>
            <w:tcBorders>
              <w:top w:val="single" w:sz="4" w:space="0" w:color="000000"/>
              <w:left w:val="none" w:sz="0" w:space="0" w:color="FFFFFF"/>
              <w:bottom w:val="single" w:sz="4" w:space="0" w:color="000000"/>
              <w:right w:val="none" w:sz="0" w:space="0" w:color="FFFFFF"/>
            </w:tcBorders>
          </w:tcPr>
          <w:p w:rsidR="008F20F8" w:rsidRDefault="00A36F46">
            <w:r>
              <w:rPr>
                <w:sz w:val="18"/>
                <w:szCs w:val="18"/>
              </w:rPr>
              <w:t>Minimum</w:t>
            </w:r>
          </w:p>
        </w:tc>
        <w:tc>
          <w:tcPr>
            <w:tcW w:w="2200"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0,370000</w:t>
            </w:r>
          </w:p>
        </w:tc>
        <w:tc>
          <w:tcPr>
            <w:tcW w:w="2200"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0,000000</w:t>
            </w:r>
          </w:p>
        </w:tc>
        <w:tc>
          <w:tcPr>
            <w:tcW w:w="2200"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3,000000</w:t>
            </w:r>
          </w:p>
        </w:tc>
      </w:tr>
      <w:tr w:rsidR="008F20F8">
        <w:tblPrEx>
          <w:tblCellMar>
            <w:top w:w="0" w:type="dxa"/>
            <w:bottom w:w="0" w:type="dxa"/>
          </w:tblCellMar>
        </w:tblPrEx>
        <w:tc>
          <w:tcPr>
            <w:tcW w:w="2760" w:type="dxa"/>
            <w:tcBorders>
              <w:top w:val="single" w:sz="4" w:space="0" w:color="000000"/>
              <w:left w:val="none" w:sz="0" w:space="0" w:color="FFFFFF"/>
              <w:bottom w:val="single" w:sz="4" w:space="0" w:color="000000"/>
              <w:right w:val="none" w:sz="0" w:space="0" w:color="FFFFFF"/>
            </w:tcBorders>
          </w:tcPr>
          <w:p w:rsidR="008F20F8" w:rsidRDefault="00A36F46">
            <w:r>
              <w:rPr>
                <w:sz w:val="18"/>
                <w:szCs w:val="18"/>
              </w:rPr>
              <w:t>Std. Dev.</w:t>
            </w:r>
          </w:p>
        </w:tc>
        <w:tc>
          <w:tcPr>
            <w:tcW w:w="2200"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2,759876</w:t>
            </w:r>
          </w:p>
        </w:tc>
        <w:tc>
          <w:tcPr>
            <w:tcW w:w="2200"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0,274048</w:t>
            </w:r>
          </w:p>
        </w:tc>
        <w:tc>
          <w:tcPr>
            <w:tcW w:w="2200"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0,985818</w:t>
            </w:r>
          </w:p>
        </w:tc>
      </w:tr>
    </w:tbl>
    <w:p w:rsidR="008F20F8" w:rsidRDefault="00A36F46">
      <w:pPr>
        <w:spacing w:after="150"/>
      </w:pPr>
      <w:r>
        <w:rPr>
          <w:i/>
          <w:iCs/>
        </w:rPr>
        <w:t>Sumber: Data diolah (2026)</w:t>
      </w:r>
    </w:p>
    <w:p w:rsidR="008F20F8" w:rsidRDefault="00A36F46">
      <w:pPr>
        <w:spacing w:after="100"/>
        <w:ind w:firstLine="431"/>
        <w:jc w:val="both"/>
      </w:pPr>
      <w:r>
        <w:t>Hasil analisis statistik deskriptif menunjukkan bahwa jumlah observasi dalam penelitian ini sebanyak 50 data. Variabel kualitas pelaporan keuangan (Y) memiliki nilai rata-rata (mean) sebesar 2,4462, nilai minimum 0,3700</w:t>
      </w:r>
      <w:r>
        <w:t>, nilai maksimum 12,6700, dan standar deviasi 2,7599. Variabel kualitas audit (X1) memiliki nilai rata-rata sebesar 0</w:t>
      </w:r>
      <w:proofErr w:type="gramStart"/>
      <w:r>
        <w:t>,9200</w:t>
      </w:r>
      <w:proofErr w:type="gramEnd"/>
      <w:r>
        <w:t xml:space="preserve"> dengan nilai minimum 0,0000, maksimum 1,0000, dan standar deviasi 0,2740. Sementara itu, variabel komite audit (X2) memiliki nilai ra</w:t>
      </w:r>
      <w:r>
        <w:t>ta-rata sebesar 3</w:t>
      </w:r>
      <w:proofErr w:type="gramStart"/>
      <w:r>
        <w:t>,7400</w:t>
      </w:r>
      <w:proofErr w:type="gramEnd"/>
      <w:r>
        <w:t>, nilai minimum 3,0000, nilai maksimum 7,0000, dan standar deviasi 0,9858. Hasil tersebut menunjukkan bahwa sebagian besar perusahaan sampel menggunakan jasa KAP Big Four dan memiliki jumlah anggota komite audit yang telah memenuhi ke</w:t>
      </w:r>
      <w:r>
        <w:t>tentuan minimum yang berlaku. Selain itu, variasi data pada variabel kualitas pelaporan keuangan relatif lebih besar dibandingkan variabel kualitas audit dan komite audit.</w:t>
      </w:r>
    </w:p>
    <w:p w:rsidR="008F20F8" w:rsidRDefault="00A36F46">
      <w:pPr>
        <w:spacing w:before="150" w:after="100"/>
      </w:pPr>
      <w:r>
        <w:rPr>
          <w:b/>
          <w:bCs/>
          <w:color w:val="000000"/>
        </w:rPr>
        <w:t>3.2. Pemilihan Model Regresi Data Panel</w:t>
      </w:r>
    </w:p>
    <w:p w:rsidR="008F20F8" w:rsidRDefault="00A36F46">
      <w:pPr>
        <w:spacing w:before="150" w:after="80"/>
        <w:jc w:val="center"/>
      </w:pPr>
      <w:r>
        <w:rPr>
          <w:b/>
          <w:bCs/>
        </w:rPr>
        <w:t>Tabel 2. Hasil Uji Chow</w:t>
      </w:r>
    </w:p>
    <w:tbl>
      <w:tblPr>
        <w:tblW w:w="936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60"/>
        <w:gridCol w:w="2600"/>
        <w:gridCol w:w="2200"/>
        <w:gridCol w:w="2000"/>
      </w:tblGrid>
      <w:tr w:rsidR="008F20F8">
        <w:tblPrEx>
          <w:tblCellMar>
            <w:top w:w="0" w:type="dxa"/>
            <w:bottom w:w="0" w:type="dxa"/>
          </w:tblCellMar>
        </w:tblPrEx>
        <w:tc>
          <w:tcPr>
            <w:tcW w:w="2560" w:type="dxa"/>
            <w:tcBorders>
              <w:top w:val="single" w:sz="4" w:space="0" w:color="000000"/>
              <w:left w:val="none" w:sz="0" w:space="0" w:color="FFFFFF"/>
              <w:bottom w:val="single" w:sz="4" w:space="0" w:color="000000"/>
              <w:right w:val="none" w:sz="0" w:space="0" w:color="FFFFFF"/>
            </w:tcBorders>
            <w:shd w:val="clear" w:color="auto" w:fill="D9D9D9"/>
          </w:tcPr>
          <w:p w:rsidR="008F20F8" w:rsidRDefault="00A36F46">
            <w:r>
              <w:rPr>
                <w:b/>
                <w:bCs/>
                <w:sz w:val="18"/>
                <w:szCs w:val="18"/>
              </w:rPr>
              <w:t>Effects Test</w:t>
            </w:r>
          </w:p>
        </w:tc>
        <w:tc>
          <w:tcPr>
            <w:tcW w:w="2600" w:type="dxa"/>
            <w:tcBorders>
              <w:top w:val="single" w:sz="4" w:space="0" w:color="000000"/>
              <w:left w:val="none" w:sz="0" w:space="0" w:color="FFFFFF"/>
              <w:bottom w:val="single" w:sz="4" w:space="0" w:color="000000"/>
              <w:right w:val="none" w:sz="0" w:space="0" w:color="FFFFFF"/>
            </w:tcBorders>
            <w:shd w:val="clear" w:color="auto" w:fill="D9D9D9"/>
          </w:tcPr>
          <w:p w:rsidR="008F20F8" w:rsidRDefault="00A36F46">
            <w:pPr>
              <w:jc w:val="center"/>
            </w:pPr>
            <w:r>
              <w:rPr>
                <w:b/>
                <w:bCs/>
                <w:sz w:val="18"/>
                <w:szCs w:val="18"/>
              </w:rPr>
              <w:t>Statist</w:t>
            </w:r>
            <w:r>
              <w:rPr>
                <w:b/>
                <w:bCs/>
                <w:sz w:val="18"/>
                <w:szCs w:val="18"/>
              </w:rPr>
              <w:t>ic</w:t>
            </w:r>
          </w:p>
        </w:tc>
        <w:tc>
          <w:tcPr>
            <w:tcW w:w="2200" w:type="dxa"/>
            <w:tcBorders>
              <w:top w:val="single" w:sz="4" w:space="0" w:color="000000"/>
              <w:left w:val="none" w:sz="0" w:space="0" w:color="FFFFFF"/>
              <w:bottom w:val="single" w:sz="4" w:space="0" w:color="000000"/>
              <w:right w:val="none" w:sz="0" w:space="0" w:color="FFFFFF"/>
            </w:tcBorders>
            <w:shd w:val="clear" w:color="auto" w:fill="D9D9D9"/>
          </w:tcPr>
          <w:p w:rsidR="008F20F8" w:rsidRDefault="00A36F46">
            <w:pPr>
              <w:jc w:val="center"/>
            </w:pPr>
            <w:r>
              <w:rPr>
                <w:b/>
                <w:bCs/>
                <w:sz w:val="18"/>
                <w:szCs w:val="18"/>
              </w:rPr>
              <w:t>d.f.</w:t>
            </w:r>
          </w:p>
        </w:tc>
        <w:tc>
          <w:tcPr>
            <w:tcW w:w="2000" w:type="dxa"/>
            <w:tcBorders>
              <w:top w:val="single" w:sz="4" w:space="0" w:color="000000"/>
              <w:left w:val="none" w:sz="0" w:space="0" w:color="FFFFFF"/>
              <w:bottom w:val="single" w:sz="4" w:space="0" w:color="000000"/>
              <w:right w:val="none" w:sz="0" w:space="0" w:color="FFFFFF"/>
            </w:tcBorders>
            <w:shd w:val="clear" w:color="auto" w:fill="D9D9D9"/>
          </w:tcPr>
          <w:p w:rsidR="008F20F8" w:rsidRDefault="00A36F46">
            <w:pPr>
              <w:jc w:val="center"/>
            </w:pPr>
            <w:r>
              <w:rPr>
                <w:b/>
                <w:bCs/>
                <w:sz w:val="18"/>
                <w:szCs w:val="18"/>
              </w:rPr>
              <w:t>Prob.</w:t>
            </w:r>
          </w:p>
        </w:tc>
      </w:tr>
      <w:tr w:rsidR="008F20F8">
        <w:tblPrEx>
          <w:tblCellMar>
            <w:top w:w="0" w:type="dxa"/>
            <w:bottom w:w="0" w:type="dxa"/>
          </w:tblCellMar>
        </w:tblPrEx>
        <w:tc>
          <w:tcPr>
            <w:tcW w:w="2560" w:type="dxa"/>
            <w:tcBorders>
              <w:top w:val="single" w:sz="4" w:space="0" w:color="000000"/>
              <w:left w:val="none" w:sz="0" w:space="0" w:color="FFFFFF"/>
              <w:bottom w:val="single" w:sz="4" w:space="0" w:color="000000"/>
              <w:right w:val="none" w:sz="0" w:space="0" w:color="FFFFFF"/>
            </w:tcBorders>
          </w:tcPr>
          <w:p w:rsidR="008F20F8" w:rsidRDefault="00A36F46">
            <w:r>
              <w:rPr>
                <w:sz w:val="18"/>
                <w:szCs w:val="18"/>
              </w:rPr>
              <w:t>Cross-section F</w:t>
            </w:r>
          </w:p>
        </w:tc>
        <w:tc>
          <w:tcPr>
            <w:tcW w:w="2600"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13,443271</w:t>
            </w:r>
          </w:p>
        </w:tc>
        <w:tc>
          <w:tcPr>
            <w:tcW w:w="2200"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(9,38)</w:t>
            </w:r>
          </w:p>
        </w:tc>
        <w:tc>
          <w:tcPr>
            <w:tcW w:w="2000"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0,0000</w:t>
            </w:r>
          </w:p>
        </w:tc>
      </w:tr>
    </w:tbl>
    <w:p w:rsidR="008F20F8" w:rsidRDefault="00A36F46">
      <w:pPr>
        <w:spacing w:after="150"/>
      </w:pPr>
      <w:r>
        <w:rPr>
          <w:i/>
          <w:iCs/>
        </w:rPr>
        <w:t>Sumber: Data diolah (2026)</w:t>
      </w:r>
    </w:p>
    <w:p w:rsidR="008F20F8" w:rsidRDefault="00A36F46">
      <w:pPr>
        <w:spacing w:after="100"/>
        <w:ind w:firstLine="431"/>
        <w:jc w:val="both"/>
      </w:pPr>
      <w:r>
        <w:t>Hasil uji Chow menunjukkan bahwa nilai probabilitas Cross-section Chi-square sebesar 0</w:t>
      </w:r>
      <w:proofErr w:type="gramStart"/>
      <w:r>
        <w:t>,0000</w:t>
      </w:r>
      <w:proofErr w:type="gramEnd"/>
      <w:r>
        <w:t xml:space="preserve"> &lt;</w:t>
      </w:r>
      <w:r>
        <w:t xml:space="preserve"> 0,05. Dengan demikian, dapat disimpulkan bahwa model yang paling sesuai adalah fixed effect. Selanjutnya, dilakukan pengujian lanjutan untuk menentukan model terbaik antara random effect dan fixed effect dengan menggunakan uji Hausman.</w:t>
      </w:r>
    </w:p>
    <w:p w:rsidR="008F20F8" w:rsidRDefault="00A36F46">
      <w:pPr>
        <w:spacing w:before="150" w:after="80"/>
        <w:jc w:val="center"/>
      </w:pPr>
      <w:r>
        <w:rPr>
          <w:b/>
          <w:bCs/>
        </w:rPr>
        <w:t xml:space="preserve">Tabel 3. Hasil Uji </w:t>
      </w:r>
      <w:r>
        <w:rPr>
          <w:b/>
          <w:bCs/>
        </w:rPr>
        <w:t>Hausman</w:t>
      </w:r>
    </w:p>
    <w:tbl>
      <w:tblPr>
        <w:tblW w:w="936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60"/>
        <w:gridCol w:w="2600"/>
        <w:gridCol w:w="2000"/>
        <w:gridCol w:w="1200"/>
      </w:tblGrid>
      <w:tr w:rsidR="008F20F8">
        <w:tblPrEx>
          <w:tblCellMar>
            <w:top w:w="0" w:type="dxa"/>
            <w:bottom w:w="0" w:type="dxa"/>
          </w:tblCellMar>
        </w:tblPrEx>
        <w:tc>
          <w:tcPr>
            <w:tcW w:w="3560" w:type="dxa"/>
            <w:tcBorders>
              <w:top w:val="single" w:sz="4" w:space="0" w:color="000000"/>
              <w:left w:val="none" w:sz="0" w:space="0" w:color="FFFFFF"/>
              <w:bottom w:val="single" w:sz="4" w:space="0" w:color="000000"/>
              <w:right w:val="none" w:sz="0" w:space="0" w:color="FFFFFF"/>
            </w:tcBorders>
            <w:shd w:val="clear" w:color="auto" w:fill="D9D9D9"/>
          </w:tcPr>
          <w:p w:rsidR="008F20F8" w:rsidRDefault="00A36F46">
            <w:r>
              <w:rPr>
                <w:b/>
                <w:bCs/>
                <w:sz w:val="18"/>
                <w:szCs w:val="18"/>
              </w:rPr>
              <w:t>Test Summary</w:t>
            </w:r>
          </w:p>
        </w:tc>
        <w:tc>
          <w:tcPr>
            <w:tcW w:w="2600" w:type="dxa"/>
            <w:tcBorders>
              <w:top w:val="single" w:sz="4" w:space="0" w:color="000000"/>
              <w:left w:val="none" w:sz="0" w:space="0" w:color="FFFFFF"/>
              <w:bottom w:val="single" w:sz="4" w:space="0" w:color="000000"/>
              <w:right w:val="none" w:sz="0" w:space="0" w:color="FFFFFF"/>
            </w:tcBorders>
            <w:shd w:val="clear" w:color="auto" w:fill="D9D9D9"/>
          </w:tcPr>
          <w:p w:rsidR="008F20F8" w:rsidRDefault="00A36F46">
            <w:pPr>
              <w:jc w:val="center"/>
            </w:pPr>
            <w:r>
              <w:rPr>
                <w:b/>
                <w:bCs/>
                <w:sz w:val="18"/>
                <w:szCs w:val="18"/>
              </w:rPr>
              <w:t>Chi-Sq. Statistic</w:t>
            </w:r>
          </w:p>
        </w:tc>
        <w:tc>
          <w:tcPr>
            <w:tcW w:w="2000" w:type="dxa"/>
            <w:tcBorders>
              <w:top w:val="single" w:sz="4" w:space="0" w:color="000000"/>
              <w:left w:val="none" w:sz="0" w:space="0" w:color="FFFFFF"/>
              <w:bottom w:val="single" w:sz="4" w:space="0" w:color="000000"/>
              <w:right w:val="none" w:sz="0" w:space="0" w:color="FFFFFF"/>
            </w:tcBorders>
            <w:shd w:val="clear" w:color="auto" w:fill="D9D9D9"/>
          </w:tcPr>
          <w:p w:rsidR="008F20F8" w:rsidRDefault="00A36F46">
            <w:pPr>
              <w:jc w:val="center"/>
            </w:pPr>
            <w:r>
              <w:rPr>
                <w:b/>
                <w:bCs/>
                <w:sz w:val="18"/>
                <w:szCs w:val="18"/>
              </w:rPr>
              <w:t>Chi-Sq. d.f.</w:t>
            </w:r>
          </w:p>
        </w:tc>
        <w:tc>
          <w:tcPr>
            <w:tcW w:w="1200" w:type="dxa"/>
            <w:tcBorders>
              <w:top w:val="single" w:sz="4" w:space="0" w:color="000000"/>
              <w:left w:val="none" w:sz="0" w:space="0" w:color="FFFFFF"/>
              <w:bottom w:val="single" w:sz="4" w:space="0" w:color="000000"/>
              <w:right w:val="none" w:sz="0" w:space="0" w:color="FFFFFF"/>
            </w:tcBorders>
            <w:shd w:val="clear" w:color="auto" w:fill="D9D9D9"/>
          </w:tcPr>
          <w:p w:rsidR="008F20F8" w:rsidRDefault="00A36F46">
            <w:pPr>
              <w:jc w:val="center"/>
            </w:pPr>
            <w:r>
              <w:rPr>
                <w:b/>
                <w:bCs/>
                <w:sz w:val="18"/>
                <w:szCs w:val="18"/>
              </w:rPr>
              <w:t>Prob.</w:t>
            </w:r>
          </w:p>
        </w:tc>
      </w:tr>
      <w:tr w:rsidR="008F20F8">
        <w:tblPrEx>
          <w:tblCellMar>
            <w:top w:w="0" w:type="dxa"/>
            <w:bottom w:w="0" w:type="dxa"/>
          </w:tblCellMar>
        </w:tblPrEx>
        <w:tc>
          <w:tcPr>
            <w:tcW w:w="3560" w:type="dxa"/>
            <w:tcBorders>
              <w:top w:val="single" w:sz="4" w:space="0" w:color="000000"/>
              <w:left w:val="none" w:sz="0" w:space="0" w:color="FFFFFF"/>
              <w:bottom w:val="single" w:sz="4" w:space="0" w:color="000000"/>
              <w:right w:val="none" w:sz="0" w:space="0" w:color="FFFFFF"/>
            </w:tcBorders>
          </w:tcPr>
          <w:p w:rsidR="008F20F8" w:rsidRDefault="00A36F46">
            <w:r>
              <w:rPr>
                <w:sz w:val="18"/>
                <w:szCs w:val="18"/>
              </w:rPr>
              <w:t>Cross-section random</w:t>
            </w:r>
          </w:p>
        </w:tc>
        <w:tc>
          <w:tcPr>
            <w:tcW w:w="2600"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0,603000</w:t>
            </w:r>
          </w:p>
        </w:tc>
        <w:tc>
          <w:tcPr>
            <w:tcW w:w="2000"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2</w:t>
            </w:r>
          </w:p>
        </w:tc>
        <w:tc>
          <w:tcPr>
            <w:tcW w:w="1200"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0,7397</w:t>
            </w:r>
          </w:p>
        </w:tc>
      </w:tr>
    </w:tbl>
    <w:p w:rsidR="008F20F8" w:rsidRDefault="00A36F46">
      <w:pPr>
        <w:spacing w:after="150"/>
      </w:pPr>
      <w:r>
        <w:rPr>
          <w:i/>
          <w:iCs/>
        </w:rPr>
        <w:t>Sumber: Data diolah (2026)</w:t>
      </w:r>
    </w:p>
    <w:p w:rsidR="008F20F8" w:rsidRDefault="00A36F46">
      <w:pPr>
        <w:spacing w:after="100"/>
        <w:ind w:firstLine="431"/>
        <w:jc w:val="both"/>
      </w:pPr>
      <w:r>
        <w:t>Hasil uji Hausman menunjukkan bahwa nilai probability cross-section random sebesar 0</w:t>
      </w:r>
      <w:proofErr w:type="gramStart"/>
      <w:r>
        <w:t>,7397</w:t>
      </w:r>
      <w:proofErr w:type="gramEnd"/>
      <w:r>
        <w:t xml:space="preserve"> &gt;</w:t>
      </w:r>
      <w:r>
        <w:t xml:space="preserve"> 0,05, sehingga dapat ditarik kesimpulan model yang sesuai dari hasil uji Hausman adalah random effect [13]. Selanjutnya, dilakukan pengujian tambahan untuk memilih model yang paling tepat antara common effect dan random effect dengan menggunakan uji Lagra</w:t>
      </w:r>
      <w:r>
        <w:t>nge Multiplier.</w:t>
      </w:r>
    </w:p>
    <w:p w:rsidR="008F20F8" w:rsidRDefault="00A36F46">
      <w:pPr>
        <w:spacing w:before="150" w:after="80"/>
        <w:jc w:val="center"/>
      </w:pPr>
      <w:r>
        <w:rPr>
          <w:b/>
          <w:bCs/>
        </w:rPr>
        <w:t>Tabel 4. Hasil Uji Lagrange Multiplier</w:t>
      </w:r>
    </w:p>
    <w:tbl>
      <w:tblPr>
        <w:tblW w:w="936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60"/>
        <w:gridCol w:w="2333"/>
        <w:gridCol w:w="2333"/>
        <w:gridCol w:w="2334"/>
      </w:tblGrid>
      <w:tr w:rsidR="008F20F8">
        <w:tblPrEx>
          <w:tblCellMar>
            <w:top w:w="0" w:type="dxa"/>
            <w:bottom w:w="0" w:type="dxa"/>
          </w:tblCellMar>
        </w:tblPrEx>
        <w:tc>
          <w:tcPr>
            <w:tcW w:w="2360" w:type="dxa"/>
            <w:tcBorders>
              <w:top w:val="single" w:sz="4" w:space="0" w:color="000000"/>
              <w:left w:val="none" w:sz="0" w:space="0" w:color="FFFFFF"/>
              <w:bottom w:val="single" w:sz="4" w:space="0" w:color="000000"/>
              <w:right w:val="none" w:sz="0" w:space="0" w:color="FFFFFF"/>
            </w:tcBorders>
            <w:shd w:val="clear" w:color="auto" w:fill="D9D9D9"/>
          </w:tcPr>
          <w:p w:rsidR="008F20F8" w:rsidRDefault="00A36F46">
            <w:r>
              <w:rPr>
                <w:b/>
                <w:bCs/>
                <w:sz w:val="18"/>
                <w:szCs w:val="18"/>
              </w:rPr>
              <w:t>Test Hypothesis</w:t>
            </w:r>
          </w:p>
        </w:tc>
        <w:tc>
          <w:tcPr>
            <w:tcW w:w="2333" w:type="dxa"/>
            <w:tcBorders>
              <w:top w:val="single" w:sz="4" w:space="0" w:color="000000"/>
              <w:left w:val="none" w:sz="0" w:space="0" w:color="FFFFFF"/>
              <w:bottom w:val="single" w:sz="4" w:space="0" w:color="000000"/>
              <w:right w:val="none" w:sz="0" w:space="0" w:color="FFFFFF"/>
            </w:tcBorders>
            <w:shd w:val="clear" w:color="auto" w:fill="D9D9D9"/>
          </w:tcPr>
          <w:p w:rsidR="008F20F8" w:rsidRDefault="00A36F46">
            <w:pPr>
              <w:jc w:val="center"/>
            </w:pPr>
            <w:r>
              <w:rPr>
                <w:b/>
                <w:bCs/>
                <w:sz w:val="18"/>
                <w:szCs w:val="18"/>
              </w:rPr>
              <w:t>Cross-section</w:t>
            </w:r>
          </w:p>
        </w:tc>
        <w:tc>
          <w:tcPr>
            <w:tcW w:w="2333" w:type="dxa"/>
            <w:tcBorders>
              <w:top w:val="single" w:sz="4" w:space="0" w:color="000000"/>
              <w:left w:val="none" w:sz="0" w:space="0" w:color="FFFFFF"/>
              <w:bottom w:val="single" w:sz="4" w:space="0" w:color="000000"/>
              <w:right w:val="none" w:sz="0" w:space="0" w:color="FFFFFF"/>
            </w:tcBorders>
            <w:shd w:val="clear" w:color="auto" w:fill="D9D9D9"/>
          </w:tcPr>
          <w:p w:rsidR="008F20F8" w:rsidRDefault="00A36F46">
            <w:pPr>
              <w:jc w:val="center"/>
            </w:pPr>
            <w:r>
              <w:rPr>
                <w:b/>
                <w:bCs/>
                <w:sz w:val="18"/>
                <w:szCs w:val="18"/>
              </w:rPr>
              <w:t>Time</w:t>
            </w:r>
          </w:p>
        </w:tc>
        <w:tc>
          <w:tcPr>
            <w:tcW w:w="2334" w:type="dxa"/>
            <w:tcBorders>
              <w:top w:val="single" w:sz="4" w:space="0" w:color="000000"/>
              <w:left w:val="none" w:sz="0" w:space="0" w:color="FFFFFF"/>
              <w:bottom w:val="single" w:sz="4" w:space="0" w:color="000000"/>
              <w:right w:val="none" w:sz="0" w:space="0" w:color="FFFFFF"/>
            </w:tcBorders>
            <w:shd w:val="clear" w:color="auto" w:fill="D9D9D9"/>
          </w:tcPr>
          <w:p w:rsidR="008F20F8" w:rsidRDefault="00A36F46">
            <w:pPr>
              <w:jc w:val="center"/>
            </w:pPr>
            <w:r>
              <w:rPr>
                <w:b/>
                <w:bCs/>
                <w:sz w:val="18"/>
                <w:szCs w:val="18"/>
              </w:rPr>
              <w:t>Both</w:t>
            </w:r>
          </w:p>
        </w:tc>
      </w:tr>
      <w:tr w:rsidR="008F20F8">
        <w:tblPrEx>
          <w:tblCellMar>
            <w:top w:w="0" w:type="dxa"/>
            <w:bottom w:w="0" w:type="dxa"/>
          </w:tblCellMar>
        </w:tblPrEx>
        <w:tc>
          <w:tcPr>
            <w:tcW w:w="2360" w:type="dxa"/>
            <w:tcBorders>
              <w:top w:val="single" w:sz="4" w:space="0" w:color="000000"/>
              <w:left w:val="none" w:sz="0" w:space="0" w:color="FFFFFF"/>
              <w:bottom w:val="single" w:sz="4" w:space="0" w:color="000000"/>
              <w:right w:val="none" w:sz="0" w:space="0" w:color="FFFFFF"/>
            </w:tcBorders>
          </w:tcPr>
          <w:p w:rsidR="008F20F8" w:rsidRDefault="00A36F46">
            <w:r>
              <w:rPr>
                <w:sz w:val="18"/>
                <w:szCs w:val="18"/>
              </w:rPr>
              <w:t>Breusch-Pagan</w:t>
            </w:r>
          </w:p>
        </w:tc>
        <w:tc>
          <w:tcPr>
            <w:tcW w:w="2333"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(0,0000)</w:t>
            </w:r>
          </w:p>
        </w:tc>
        <w:tc>
          <w:tcPr>
            <w:tcW w:w="2333"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(0,3202)</w:t>
            </w:r>
          </w:p>
        </w:tc>
        <w:tc>
          <w:tcPr>
            <w:tcW w:w="2334"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(0,0000)</w:t>
            </w:r>
          </w:p>
        </w:tc>
      </w:tr>
    </w:tbl>
    <w:p w:rsidR="008F20F8" w:rsidRDefault="00A36F46">
      <w:pPr>
        <w:spacing w:after="150"/>
      </w:pPr>
      <w:r>
        <w:rPr>
          <w:i/>
          <w:iCs/>
        </w:rPr>
        <w:t>Sumber: Data diolah (2026)</w:t>
      </w:r>
    </w:p>
    <w:p w:rsidR="008F20F8" w:rsidRDefault="00A36F46">
      <w:pPr>
        <w:spacing w:after="100"/>
        <w:ind w:firstLine="431"/>
        <w:jc w:val="both"/>
      </w:pPr>
      <w:r>
        <w:t>Hasil uji Lagrange Multiplier menunjukkan bahwa nilai Both Breusch-Pagan sebesar 0</w:t>
      </w:r>
      <w:proofErr w:type="gramStart"/>
      <w:r>
        <w:t>,0000</w:t>
      </w:r>
      <w:proofErr w:type="gramEnd"/>
      <w:r>
        <w:t xml:space="preserve"> &lt;</w:t>
      </w:r>
      <w:r>
        <w:t xml:space="preserve"> 0,05, sehingga dapat disimpulkan bahwa model yang lebih tepat berdasarkan uji tersebut adalah random effect. Dengan demikian, berdasarkan hasil uji Chow, uji Hausman, dan uji Lagrange Multiplier, model yang paling sesuai digunakan dalam penelitian ini ada</w:t>
      </w:r>
      <w:r>
        <w:t>lah random effect [14].</w:t>
      </w:r>
    </w:p>
    <w:p w:rsidR="008F20F8" w:rsidRDefault="00A36F46">
      <w:pPr>
        <w:spacing w:before="150" w:after="100"/>
      </w:pPr>
      <w:r>
        <w:rPr>
          <w:b/>
          <w:bCs/>
          <w:color w:val="000000"/>
        </w:rPr>
        <w:t>3.3. Uji Asumsi Klasik</w:t>
      </w:r>
    </w:p>
    <w:p w:rsidR="008F20F8" w:rsidRDefault="00A36F46">
      <w:pPr>
        <w:spacing w:after="100"/>
        <w:ind w:firstLine="431"/>
        <w:jc w:val="both"/>
      </w:pPr>
      <w:r>
        <w:t>Hasil uji normalitas menunjukkan nilai probability sebesar 0,312386. [Gambar histogram uji normalitas pada naskah asli belum dapat disalin otomatis ke templat ini — mohon sisipkan kembali gambar aslinya di sin</w:t>
      </w:r>
      <w:r>
        <w:t>i.] Nilai probability tersebut lebih besar dari 0</w:t>
      </w:r>
      <w:proofErr w:type="gramStart"/>
      <w:r>
        <w:t>,05</w:t>
      </w:r>
      <w:proofErr w:type="gramEnd"/>
      <w:r>
        <w:t>, sehingga dapat disimpulkan bahwa data berdistribusi normal.</w:t>
      </w:r>
    </w:p>
    <w:p w:rsidR="00E64D00" w:rsidRDefault="00E64D00">
      <w:pPr>
        <w:spacing w:before="150" w:after="80"/>
        <w:jc w:val="center"/>
        <w:rPr>
          <w:b/>
          <w:bCs/>
        </w:rPr>
      </w:pPr>
    </w:p>
    <w:p w:rsidR="00E64D00" w:rsidRDefault="00E64D00">
      <w:pPr>
        <w:spacing w:before="150" w:after="80"/>
        <w:jc w:val="center"/>
        <w:rPr>
          <w:b/>
          <w:bCs/>
        </w:rPr>
      </w:pPr>
    </w:p>
    <w:p w:rsidR="00E64D00" w:rsidRDefault="00E64D00">
      <w:pPr>
        <w:spacing w:before="150" w:after="80"/>
        <w:jc w:val="center"/>
        <w:rPr>
          <w:b/>
          <w:bCs/>
        </w:rPr>
      </w:pPr>
    </w:p>
    <w:p w:rsidR="008F20F8" w:rsidRDefault="00A36F46">
      <w:pPr>
        <w:spacing w:before="150" w:after="80"/>
        <w:jc w:val="center"/>
      </w:pPr>
      <w:r>
        <w:rPr>
          <w:b/>
          <w:bCs/>
        </w:rPr>
        <w:lastRenderedPageBreak/>
        <w:t>Tabel 5. Hasil Uji Multikolinearitas</w:t>
      </w:r>
    </w:p>
    <w:tbl>
      <w:tblPr>
        <w:tblW w:w="936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8F20F8">
        <w:tblPrEx>
          <w:tblCellMar>
            <w:top w:w="0" w:type="dxa"/>
            <w:bottom w:w="0" w:type="dxa"/>
          </w:tblCellMar>
        </w:tblPrEx>
        <w:tc>
          <w:tcPr>
            <w:tcW w:w="3120" w:type="dxa"/>
            <w:tcBorders>
              <w:top w:val="single" w:sz="4" w:space="0" w:color="000000"/>
              <w:left w:val="none" w:sz="0" w:space="0" w:color="FFFFFF"/>
              <w:bottom w:val="single" w:sz="4" w:space="0" w:color="000000"/>
              <w:right w:val="none" w:sz="0" w:space="0" w:color="FFFFFF"/>
            </w:tcBorders>
            <w:shd w:val="clear" w:color="auto" w:fill="D9D9D9"/>
          </w:tcPr>
          <w:p w:rsidR="008F20F8" w:rsidRDefault="008F20F8">
            <w:pPr>
              <w:jc w:val="center"/>
            </w:pPr>
          </w:p>
        </w:tc>
        <w:tc>
          <w:tcPr>
            <w:tcW w:w="3120" w:type="dxa"/>
            <w:tcBorders>
              <w:top w:val="single" w:sz="4" w:space="0" w:color="000000"/>
              <w:left w:val="none" w:sz="0" w:space="0" w:color="FFFFFF"/>
              <w:bottom w:val="single" w:sz="4" w:space="0" w:color="000000"/>
              <w:right w:val="none" w:sz="0" w:space="0" w:color="FFFFFF"/>
            </w:tcBorders>
            <w:shd w:val="clear" w:color="auto" w:fill="D9D9D9"/>
          </w:tcPr>
          <w:p w:rsidR="008F20F8" w:rsidRDefault="00A36F46">
            <w:pPr>
              <w:jc w:val="center"/>
            </w:pPr>
            <w:r>
              <w:rPr>
                <w:b/>
                <w:bCs/>
                <w:sz w:val="18"/>
                <w:szCs w:val="18"/>
              </w:rPr>
              <w:t>X1</w:t>
            </w:r>
          </w:p>
        </w:tc>
        <w:tc>
          <w:tcPr>
            <w:tcW w:w="3120" w:type="dxa"/>
            <w:tcBorders>
              <w:top w:val="single" w:sz="4" w:space="0" w:color="000000"/>
              <w:left w:val="none" w:sz="0" w:space="0" w:color="FFFFFF"/>
              <w:bottom w:val="single" w:sz="4" w:space="0" w:color="000000"/>
              <w:right w:val="none" w:sz="0" w:space="0" w:color="FFFFFF"/>
            </w:tcBorders>
            <w:shd w:val="clear" w:color="auto" w:fill="D9D9D9"/>
          </w:tcPr>
          <w:p w:rsidR="008F20F8" w:rsidRDefault="00A36F46">
            <w:pPr>
              <w:jc w:val="center"/>
            </w:pPr>
            <w:r>
              <w:rPr>
                <w:b/>
                <w:bCs/>
                <w:sz w:val="18"/>
                <w:szCs w:val="18"/>
              </w:rPr>
              <w:t>X2</w:t>
            </w:r>
          </w:p>
        </w:tc>
      </w:tr>
      <w:tr w:rsidR="008F20F8">
        <w:tblPrEx>
          <w:tblCellMar>
            <w:top w:w="0" w:type="dxa"/>
            <w:bottom w:w="0" w:type="dxa"/>
          </w:tblCellMar>
        </w:tblPrEx>
        <w:tc>
          <w:tcPr>
            <w:tcW w:w="3120"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b/>
                <w:bCs/>
                <w:sz w:val="18"/>
                <w:szCs w:val="18"/>
              </w:rPr>
              <w:t>X1</w:t>
            </w:r>
          </w:p>
        </w:tc>
        <w:tc>
          <w:tcPr>
            <w:tcW w:w="3120"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1,000000</w:t>
            </w:r>
          </w:p>
        </w:tc>
        <w:tc>
          <w:tcPr>
            <w:tcW w:w="3120"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-0,229644</w:t>
            </w:r>
          </w:p>
        </w:tc>
      </w:tr>
      <w:tr w:rsidR="008F20F8">
        <w:tblPrEx>
          <w:tblCellMar>
            <w:top w:w="0" w:type="dxa"/>
            <w:bottom w:w="0" w:type="dxa"/>
          </w:tblCellMar>
        </w:tblPrEx>
        <w:tc>
          <w:tcPr>
            <w:tcW w:w="3120"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b/>
                <w:bCs/>
                <w:sz w:val="18"/>
                <w:szCs w:val="18"/>
              </w:rPr>
              <w:t>X2</w:t>
            </w:r>
          </w:p>
        </w:tc>
        <w:tc>
          <w:tcPr>
            <w:tcW w:w="3120"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-0,229644</w:t>
            </w:r>
          </w:p>
        </w:tc>
        <w:tc>
          <w:tcPr>
            <w:tcW w:w="3120"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1,000000</w:t>
            </w:r>
          </w:p>
        </w:tc>
      </w:tr>
    </w:tbl>
    <w:p w:rsidR="008F20F8" w:rsidRDefault="00A36F46">
      <w:pPr>
        <w:spacing w:after="150"/>
      </w:pPr>
      <w:r>
        <w:rPr>
          <w:i/>
          <w:iCs/>
        </w:rPr>
        <w:t>Sumber: Data diolah (2026)</w:t>
      </w:r>
    </w:p>
    <w:p w:rsidR="008F20F8" w:rsidRDefault="00A36F46">
      <w:pPr>
        <w:spacing w:after="100"/>
        <w:ind w:firstLine="431"/>
        <w:jc w:val="both"/>
      </w:pPr>
      <w:r>
        <w:t>Hasil uji multikolinearitas pada Tabel 5 menunjukkan bahwa tidak terdapat variabel yang memiliki nilai korelasi di atas 0</w:t>
      </w:r>
      <w:proofErr w:type="gramStart"/>
      <w:r>
        <w:t>,90</w:t>
      </w:r>
      <w:proofErr w:type="gramEnd"/>
      <w:r>
        <w:t>. Dengan demikian, dapat disimpulkan bahwa model penelitian ini bebas dari masalah multikolinearitas, sehingga tidak terjadi korelas</w:t>
      </w:r>
      <w:r>
        <w:t>i yang tinggi antarvariabel independen.</w:t>
      </w:r>
    </w:p>
    <w:p w:rsidR="008F20F8" w:rsidRDefault="00A36F46">
      <w:pPr>
        <w:spacing w:before="150" w:after="80"/>
        <w:jc w:val="center"/>
      </w:pPr>
      <w:r>
        <w:rPr>
          <w:b/>
          <w:bCs/>
        </w:rPr>
        <w:t>Tabel 6. Hasil Uji Heteroskedastisitas</w:t>
      </w:r>
    </w:p>
    <w:tbl>
      <w:tblPr>
        <w:tblW w:w="936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8F20F8">
        <w:tblPrEx>
          <w:tblCellMar>
            <w:top w:w="0" w:type="dxa"/>
            <w:bottom w:w="0" w:type="dxa"/>
          </w:tblCellMar>
        </w:tblPrEx>
        <w:tc>
          <w:tcPr>
            <w:tcW w:w="4680" w:type="dxa"/>
            <w:tcBorders>
              <w:top w:val="single" w:sz="4" w:space="0" w:color="000000"/>
              <w:left w:val="none" w:sz="0" w:space="0" w:color="FFFFFF"/>
              <w:bottom w:val="single" w:sz="4" w:space="0" w:color="000000"/>
              <w:right w:val="none" w:sz="0" w:space="0" w:color="FFFFFF"/>
            </w:tcBorders>
            <w:shd w:val="clear" w:color="auto" w:fill="D9D9D9"/>
          </w:tcPr>
          <w:p w:rsidR="008F20F8" w:rsidRDefault="00A36F46">
            <w:r>
              <w:rPr>
                <w:b/>
                <w:bCs/>
                <w:sz w:val="18"/>
                <w:szCs w:val="18"/>
              </w:rPr>
              <w:t>Variabel</w:t>
            </w:r>
          </w:p>
        </w:tc>
        <w:tc>
          <w:tcPr>
            <w:tcW w:w="4680" w:type="dxa"/>
            <w:tcBorders>
              <w:top w:val="single" w:sz="4" w:space="0" w:color="000000"/>
              <w:left w:val="none" w:sz="0" w:space="0" w:color="FFFFFF"/>
              <w:bottom w:val="single" w:sz="4" w:space="0" w:color="000000"/>
              <w:right w:val="none" w:sz="0" w:space="0" w:color="FFFFFF"/>
            </w:tcBorders>
            <w:shd w:val="clear" w:color="auto" w:fill="D9D9D9"/>
          </w:tcPr>
          <w:p w:rsidR="008F20F8" w:rsidRDefault="00A36F46">
            <w:pPr>
              <w:jc w:val="center"/>
            </w:pPr>
            <w:r>
              <w:rPr>
                <w:b/>
                <w:bCs/>
                <w:sz w:val="18"/>
                <w:szCs w:val="18"/>
              </w:rPr>
              <w:t>Prob.</w:t>
            </w:r>
          </w:p>
        </w:tc>
      </w:tr>
      <w:tr w:rsidR="008F20F8">
        <w:tblPrEx>
          <w:tblCellMar>
            <w:top w:w="0" w:type="dxa"/>
            <w:bottom w:w="0" w:type="dxa"/>
          </w:tblCellMar>
        </w:tblPrEx>
        <w:tc>
          <w:tcPr>
            <w:tcW w:w="4680" w:type="dxa"/>
            <w:tcBorders>
              <w:top w:val="single" w:sz="4" w:space="0" w:color="000000"/>
              <w:left w:val="none" w:sz="0" w:space="0" w:color="FFFFFF"/>
              <w:bottom w:val="single" w:sz="4" w:space="0" w:color="000000"/>
              <w:right w:val="none" w:sz="0" w:space="0" w:color="FFFFFF"/>
            </w:tcBorders>
          </w:tcPr>
          <w:p w:rsidR="008F20F8" w:rsidRDefault="00A36F46">
            <w:r>
              <w:rPr>
                <w:sz w:val="18"/>
                <w:szCs w:val="18"/>
              </w:rPr>
              <w:t>X1</w:t>
            </w:r>
          </w:p>
        </w:tc>
        <w:tc>
          <w:tcPr>
            <w:tcW w:w="4680"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0,4788</w:t>
            </w:r>
          </w:p>
        </w:tc>
      </w:tr>
      <w:tr w:rsidR="008F20F8">
        <w:tblPrEx>
          <w:tblCellMar>
            <w:top w:w="0" w:type="dxa"/>
            <w:bottom w:w="0" w:type="dxa"/>
          </w:tblCellMar>
        </w:tblPrEx>
        <w:tc>
          <w:tcPr>
            <w:tcW w:w="4680" w:type="dxa"/>
            <w:tcBorders>
              <w:top w:val="single" w:sz="4" w:space="0" w:color="000000"/>
              <w:left w:val="none" w:sz="0" w:space="0" w:color="FFFFFF"/>
              <w:bottom w:val="single" w:sz="4" w:space="0" w:color="000000"/>
              <w:right w:val="none" w:sz="0" w:space="0" w:color="FFFFFF"/>
            </w:tcBorders>
          </w:tcPr>
          <w:p w:rsidR="008F20F8" w:rsidRDefault="00A36F46">
            <w:r>
              <w:rPr>
                <w:sz w:val="18"/>
                <w:szCs w:val="18"/>
              </w:rPr>
              <w:t>X2</w:t>
            </w:r>
          </w:p>
        </w:tc>
        <w:tc>
          <w:tcPr>
            <w:tcW w:w="4680"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0,6698</w:t>
            </w:r>
          </w:p>
        </w:tc>
      </w:tr>
    </w:tbl>
    <w:p w:rsidR="008F20F8" w:rsidRDefault="00A36F46">
      <w:pPr>
        <w:spacing w:after="150"/>
      </w:pPr>
      <w:r>
        <w:rPr>
          <w:i/>
          <w:iCs/>
        </w:rPr>
        <w:t>Sumber: Data diolah (2026)</w:t>
      </w:r>
    </w:p>
    <w:p w:rsidR="008F20F8" w:rsidRDefault="00A36F46">
      <w:pPr>
        <w:spacing w:after="100"/>
        <w:ind w:firstLine="431"/>
        <w:jc w:val="both"/>
      </w:pPr>
      <w:r>
        <w:t>Berdasarkan hasil uji heteroskedastisitas dengan menggunakan metode Glejser, dapat diketahui bahwa nilai signifikansi (Prob.) dari variabel independen X1 sebesar 0,4788 dan variabel X2 sebesar 0,6698. Karena nilai signifikansi kedua variabel tersebut &gt; 0</w:t>
      </w:r>
      <w:proofErr w:type="gramStart"/>
      <w:r>
        <w:t>,0</w:t>
      </w:r>
      <w:r>
        <w:t>5</w:t>
      </w:r>
      <w:proofErr w:type="gramEnd"/>
      <w:r>
        <w:t>, maka dapat disimpulkan bahwa model regresi ini bebas dari gejala heteroskedastisitas atau memenuhi asumsi homoskedastisitas.</w:t>
      </w:r>
    </w:p>
    <w:p w:rsidR="008F20F8" w:rsidRDefault="00A36F46">
      <w:pPr>
        <w:spacing w:before="150" w:after="100"/>
      </w:pPr>
      <w:r>
        <w:rPr>
          <w:b/>
          <w:bCs/>
          <w:color w:val="000000"/>
        </w:rPr>
        <w:t>3.4. Analisis Regresi Data Panel dan Uji Hipotesis</w:t>
      </w:r>
    </w:p>
    <w:p w:rsidR="008F20F8" w:rsidRDefault="00A36F46">
      <w:pPr>
        <w:spacing w:after="100"/>
        <w:ind w:firstLine="431"/>
        <w:jc w:val="both"/>
      </w:pPr>
      <w:r>
        <w:t>Berdasarkan hasil regresi data panel dengan random effect, diperoleh persamaa</w:t>
      </w:r>
      <w:r>
        <w:t>n regresi sebagai berikut:</w:t>
      </w:r>
    </w:p>
    <w:p w:rsidR="008F20F8" w:rsidRDefault="00A36F46">
      <w:pPr>
        <w:spacing w:before="100" w:after="100"/>
        <w:jc w:val="center"/>
      </w:pPr>
      <w:r>
        <w:rPr>
          <w:i/>
          <w:iCs/>
        </w:rPr>
        <w:t>Y = −0</w:t>
      </w:r>
      <w:proofErr w:type="gramStart"/>
      <w:r>
        <w:rPr>
          <w:i/>
          <w:iCs/>
        </w:rPr>
        <w:t>,84</w:t>
      </w:r>
      <w:proofErr w:type="gramEnd"/>
      <w:r>
        <w:rPr>
          <w:i/>
          <w:iCs/>
        </w:rPr>
        <w:t xml:space="preserve"> + 0,52X1 + 0,24X2</w:t>
      </w:r>
    </w:p>
    <w:p w:rsidR="008F20F8" w:rsidRDefault="00A36F46">
      <w:pPr>
        <w:spacing w:after="100"/>
        <w:ind w:firstLine="431"/>
        <w:jc w:val="both"/>
      </w:pPr>
      <w:r>
        <w:t>Nilai konstanta sebesar −0</w:t>
      </w:r>
      <w:proofErr w:type="gramStart"/>
      <w:r>
        <w:t>,84</w:t>
      </w:r>
      <w:proofErr w:type="gramEnd"/>
      <w:r>
        <w:t xml:space="preserve"> menunjukkan bahwa tanpa adanya variabel X1 dan X2, variabel Y akan mengalami penurunan sebesar 84%. Nilai koefisien beta variabel X1 sebesar 0,52 menunjukkan bahwa jika ni</w:t>
      </w:r>
      <w:r>
        <w:t>lai variabel lain konstan dan X1 mengalami peningkatan 1%, maka Y akan mengalami peningkatan sebesar 52%, dan berlaku pula sebaliknya. Nilai koefisien beta variabel X2 sebesar 0,24 menunjukkan bahwa jika nilai variabel lain konstan dan X2 mengalami peningk</w:t>
      </w:r>
      <w:r>
        <w:t>atan 1%, maka Y akan mengalami peningkatan sebesar 24%, dan berlaku pula sebaliknya.</w:t>
      </w:r>
    </w:p>
    <w:p w:rsidR="008F20F8" w:rsidRDefault="00A36F46">
      <w:pPr>
        <w:spacing w:before="150" w:after="80"/>
        <w:jc w:val="center"/>
      </w:pPr>
      <w:r>
        <w:rPr>
          <w:b/>
          <w:bCs/>
        </w:rPr>
        <w:t>Tabel 7. Hasil Uji t (Parsial)</w:t>
      </w:r>
    </w:p>
    <w:tbl>
      <w:tblPr>
        <w:tblW w:w="936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60"/>
        <w:gridCol w:w="2333"/>
        <w:gridCol w:w="2333"/>
        <w:gridCol w:w="2334"/>
      </w:tblGrid>
      <w:tr w:rsidR="008F20F8">
        <w:tblPrEx>
          <w:tblCellMar>
            <w:top w:w="0" w:type="dxa"/>
            <w:bottom w:w="0" w:type="dxa"/>
          </w:tblCellMar>
        </w:tblPrEx>
        <w:tc>
          <w:tcPr>
            <w:tcW w:w="2360" w:type="dxa"/>
            <w:tcBorders>
              <w:top w:val="single" w:sz="4" w:space="0" w:color="000000"/>
              <w:left w:val="none" w:sz="0" w:space="0" w:color="FFFFFF"/>
              <w:bottom w:val="single" w:sz="4" w:space="0" w:color="000000"/>
              <w:right w:val="none" w:sz="0" w:space="0" w:color="FFFFFF"/>
            </w:tcBorders>
            <w:shd w:val="clear" w:color="auto" w:fill="D9D9D9"/>
          </w:tcPr>
          <w:p w:rsidR="008F20F8" w:rsidRDefault="00A36F46">
            <w:r>
              <w:rPr>
                <w:b/>
                <w:bCs/>
                <w:sz w:val="18"/>
                <w:szCs w:val="18"/>
              </w:rPr>
              <w:t>Variable</w:t>
            </w:r>
          </w:p>
        </w:tc>
        <w:tc>
          <w:tcPr>
            <w:tcW w:w="2333" w:type="dxa"/>
            <w:tcBorders>
              <w:top w:val="single" w:sz="4" w:space="0" w:color="000000"/>
              <w:left w:val="none" w:sz="0" w:space="0" w:color="FFFFFF"/>
              <w:bottom w:val="single" w:sz="4" w:space="0" w:color="000000"/>
              <w:right w:val="none" w:sz="0" w:space="0" w:color="FFFFFF"/>
            </w:tcBorders>
            <w:shd w:val="clear" w:color="auto" w:fill="D9D9D9"/>
          </w:tcPr>
          <w:p w:rsidR="008F20F8" w:rsidRDefault="00A36F46">
            <w:pPr>
              <w:jc w:val="center"/>
            </w:pPr>
            <w:r>
              <w:rPr>
                <w:b/>
                <w:bCs/>
                <w:sz w:val="18"/>
                <w:szCs w:val="18"/>
              </w:rPr>
              <w:t>Coefficient</w:t>
            </w:r>
          </w:p>
        </w:tc>
        <w:tc>
          <w:tcPr>
            <w:tcW w:w="2333" w:type="dxa"/>
            <w:tcBorders>
              <w:top w:val="single" w:sz="4" w:space="0" w:color="000000"/>
              <w:left w:val="none" w:sz="0" w:space="0" w:color="FFFFFF"/>
              <w:bottom w:val="single" w:sz="4" w:space="0" w:color="000000"/>
              <w:right w:val="none" w:sz="0" w:space="0" w:color="FFFFFF"/>
            </w:tcBorders>
            <w:shd w:val="clear" w:color="auto" w:fill="D9D9D9"/>
          </w:tcPr>
          <w:p w:rsidR="008F20F8" w:rsidRDefault="00A36F46">
            <w:pPr>
              <w:jc w:val="center"/>
            </w:pPr>
            <w:r>
              <w:rPr>
                <w:b/>
                <w:bCs/>
                <w:sz w:val="18"/>
                <w:szCs w:val="18"/>
              </w:rPr>
              <w:t>t-Statistic</w:t>
            </w:r>
          </w:p>
        </w:tc>
        <w:tc>
          <w:tcPr>
            <w:tcW w:w="2334" w:type="dxa"/>
            <w:tcBorders>
              <w:top w:val="single" w:sz="4" w:space="0" w:color="000000"/>
              <w:left w:val="none" w:sz="0" w:space="0" w:color="FFFFFF"/>
              <w:bottom w:val="single" w:sz="4" w:space="0" w:color="000000"/>
              <w:right w:val="none" w:sz="0" w:space="0" w:color="FFFFFF"/>
            </w:tcBorders>
            <w:shd w:val="clear" w:color="auto" w:fill="D9D9D9"/>
          </w:tcPr>
          <w:p w:rsidR="008F20F8" w:rsidRDefault="00A36F46">
            <w:pPr>
              <w:jc w:val="center"/>
            </w:pPr>
            <w:r>
              <w:rPr>
                <w:b/>
                <w:bCs/>
                <w:sz w:val="18"/>
                <w:szCs w:val="18"/>
              </w:rPr>
              <w:t>Prob.</w:t>
            </w:r>
          </w:p>
        </w:tc>
      </w:tr>
      <w:tr w:rsidR="008F20F8">
        <w:tblPrEx>
          <w:tblCellMar>
            <w:top w:w="0" w:type="dxa"/>
            <w:bottom w:w="0" w:type="dxa"/>
          </w:tblCellMar>
        </w:tblPrEx>
        <w:tc>
          <w:tcPr>
            <w:tcW w:w="2360" w:type="dxa"/>
            <w:tcBorders>
              <w:top w:val="single" w:sz="4" w:space="0" w:color="000000"/>
              <w:left w:val="none" w:sz="0" w:space="0" w:color="FFFFFF"/>
              <w:bottom w:val="single" w:sz="4" w:space="0" w:color="000000"/>
              <w:right w:val="none" w:sz="0" w:space="0" w:color="FFFFFF"/>
            </w:tcBorders>
          </w:tcPr>
          <w:p w:rsidR="008F20F8" w:rsidRDefault="00A36F46">
            <w:r>
              <w:rPr>
                <w:sz w:val="18"/>
                <w:szCs w:val="18"/>
              </w:rPr>
              <w:t>C</w:t>
            </w:r>
          </w:p>
        </w:tc>
        <w:tc>
          <w:tcPr>
            <w:tcW w:w="2333"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-0,847214</w:t>
            </w:r>
          </w:p>
        </w:tc>
        <w:tc>
          <w:tcPr>
            <w:tcW w:w="2333"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-1,274255</w:t>
            </w:r>
          </w:p>
        </w:tc>
        <w:tc>
          <w:tcPr>
            <w:tcW w:w="2334"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0,2088</w:t>
            </w:r>
          </w:p>
        </w:tc>
      </w:tr>
      <w:tr w:rsidR="008F20F8">
        <w:tblPrEx>
          <w:tblCellMar>
            <w:top w:w="0" w:type="dxa"/>
            <w:bottom w:w="0" w:type="dxa"/>
          </w:tblCellMar>
        </w:tblPrEx>
        <w:tc>
          <w:tcPr>
            <w:tcW w:w="2360" w:type="dxa"/>
            <w:tcBorders>
              <w:top w:val="single" w:sz="4" w:space="0" w:color="000000"/>
              <w:left w:val="none" w:sz="0" w:space="0" w:color="FFFFFF"/>
              <w:bottom w:val="single" w:sz="4" w:space="0" w:color="000000"/>
              <w:right w:val="none" w:sz="0" w:space="0" w:color="FFFFFF"/>
            </w:tcBorders>
          </w:tcPr>
          <w:p w:rsidR="008F20F8" w:rsidRDefault="00A36F46">
            <w:r>
              <w:rPr>
                <w:sz w:val="18"/>
                <w:szCs w:val="18"/>
              </w:rPr>
              <w:t>X1</w:t>
            </w:r>
          </w:p>
        </w:tc>
        <w:tc>
          <w:tcPr>
            <w:tcW w:w="2333"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0,528772</w:t>
            </w:r>
          </w:p>
        </w:tc>
        <w:tc>
          <w:tcPr>
            <w:tcW w:w="2333"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2,132797</w:t>
            </w:r>
          </w:p>
        </w:tc>
        <w:tc>
          <w:tcPr>
            <w:tcW w:w="2334"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0,0382</w:t>
            </w:r>
          </w:p>
        </w:tc>
      </w:tr>
      <w:tr w:rsidR="008F20F8">
        <w:tblPrEx>
          <w:tblCellMar>
            <w:top w:w="0" w:type="dxa"/>
            <w:bottom w:w="0" w:type="dxa"/>
          </w:tblCellMar>
        </w:tblPrEx>
        <w:tc>
          <w:tcPr>
            <w:tcW w:w="2360" w:type="dxa"/>
            <w:tcBorders>
              <w:top w:val="single" w:sz="4" w:space="0" w:color="000000"/>
              <w:left w:val="none" w:sz="0" w:space="0" w:color="FFFFFF"/>
              <w:bottom w:val="single" w:sz="4" w:space="0" w:color="000000"/>
              <w:right w:val="none" w:sz="0" w:space="0" w:color="FFFFFF"/>
            </w:tcBorders>
          </w:tcPr>
          <w:p w:rsidR="008F20F8" w:rsidRDefault="00A36F46">
            <w:r>
              <w:rPr>
                <w:sz w:val="18"/>
                <w:szCs w:val="18"/>
              </w:rPr>
              <w:t>X2</w:t>
            </w:r>
          </w:p>
        </w:tc>
        <w:tc>
          <w:tcPr>
            <w:tcW w:w="2333"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0,245274</w:t>
            </w:r>
          </w:p>
        </w:tc>
        <w:tc>
          <w:tcPr>
            <w:tcW w:w="2333"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1,754373</w:t>
            </w:r>
          </w:p>
        </w:tc>
        <w:tc>
          <w:tcPr>
            <w:tcW w:w="2334"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0,0859</w:t>
            </w:r>
          </w:p>
        </w:tc>
      </w:tr>
    </w:tbl>
    <w:p w:rsidR="008F20F8" w:rsidRDefault="00A36F46">
      <w:pPr>
        <w:spacing w:after="150"/>
      </w:pPr>
      <w:r>
        <w:rPr>
          <w:i/>
          <w:iCs/>
        </w:rPr>
        <w:t>Sumber: Data diolah (2026)</w:t>
      </w:r>
    </w:p>
    <w:p w:rsidR="008F20F8" w:rsidRDefault="00A36F46">
      <w:pPr>
        <w:spacing w:after="100"/>
        <w:ind w:firstLine="431"/>
        <w:jc w:val="both"/>
      </w:pPr>
      <w:r>
        <w:t>Berdasarkan Tabel 7, nilai probabilitas variabel X1 terhadap Y sebesar 0,0382 &lt; 0,05, sehingga dapat ditarik kesimpulan bahwa hipotesis pertama diterima karena X1 berpengaruh terhadap kualitas laporan keuangan. Sedangkan nilai pr</w:t>
      </w:r>
      <w:r>
        <w:t>obabilitas variabel X2 terhadap Y sebesar 0</w:t>
      </w:r>
      <w:proofErr w:type="gramStart"/>
      <w:r>
        <w:t>,0859</w:t>
      </w:r>
      <w:proofErr w:type="gramEnd"/>
      <w:r>
        <w:t xml:space="preserve"> &gt; 0,05, sehingga dapat ditarik kesimpulan bahwa hipotesis kedua tidak diterima karena X2 tidak berpengaruh terhadap kualitas laporan keuangan.</w:t>
      </w:r>
    </w:p>
    <w:p w:rsidR="008F20F8" w:rsidRDefault="00A36F46">
      <w:pPr>
        <w:spacing w:before="150" w:after="80"/>
        <w:jc w:val="center"/>
      </w:pPr>
      <w:r>
        <w:rPr>
          <w:b/>
          <w:bCs/>
        </w:rPr>
        <w:t>Tabel 8. Hasil Uji F (Simultan) dan Koefisien Determinasi</w:t>
      </w:r>
    </w:p>
    <w:tbl>
      <w:tblPr>
        <w:tblW w:w="936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8F20F8">
        <w:tblPrEx>
          <w:tblCellMar>
            <w:top w:w="0" w:type="dxa"/>
            <w:bottom w:w="0" w:type="dxa"/>
          </w:tblCellMar>
        </w:tblPrEx>
        <w:tc>
          <w:tcPr>
            <w:tcW w:w="4680" w:type="dxa"/>
            <w:tcBorders>
              <w:top w:val="single" w:sz="4" w:space="0" w:color="000000"/>
              <w:left w:val="none" w:sz="0" w:space="0" w:color="FFFFFF"/>
              <w:bottom w:val="single" w:sz="4" w:space="0" w:color="000000"/>
              <w:right w:val="none" w:sz="0" w:space="0" w:color="FFFFFF"/>
            </w:tcBorders>
            <w:shd w:val="clear" w:color="auto" w:fill="D9D9D9"/>
          </w:tcPr>
          <w:p w:rsidR="008F20F8" w:rsidRDefault="00A36F46">
            <w:r>
              <w:rPr>
                <w:b/>
                <w:bCs/>
                <w:sz w:val="18"/>
                <w:szCs w:val="18"/>
              </w:rPr>
              <w:t>Indikator</w:t>
            </w:r>
          </w:p>
        </w:tc>
        <w:tc>
          <w:tcPr>
            <w:tcW w:w="4680" w:type="dxa"/>
            <w:tcBorders>
              <w:top w:val="single" w:sz="4" w:space="0" w:color="000000"/>
              <w:left w:val="none" w:sz="0" w:space="0" w:color="FFFFFF"/>
              <w:bottom w:val="single" w:sz="4" w:space="0" w:color="000000"/>
              <w:right w:val="none" w:sz="0" w:space="0" w:color="FFFFFF"/>
            </w:tcBorders>
            <w:shd w:val="clear" w:color="auto" w:fill="D9D9D9"/>
          </w:tcPr>
          <w:p w:rsidR="008F20F8" w:rsidRDefault="00A36F46">
            <w:pPr>
              <w:jc w:val="center"/>
            </w:pPr>
            <w:r>
              <w:rPr>
                <w:b/>
                <w:bCs/>
                <w:sz w:val="18"/>
                <w:szCs w:val="18"/>
              </w:rPr>
              <w:t>Nilai</w:t>
            </w:r>
          </w:p>
        </w:tc>
      </w:tr>
      <w:tr w:rsidR="008F20F8">
        <w:tblPrEx>
          <w:tblCellMar>
            <w:top w:w="0" w:type="dxa"/>
            <w:bottom w:w="0" w:type="dxa"/>
          </w:tblCellMar>
        </w:tblPrEx>
        <w:tc>
          <w:tcPr>
            <w:tcW w:w="4680" w:type="dxa"/>
            <w:tcBorders>
              <w:top w:val="single" w:sz="4" w:space="0" w:color="000000"/>
              <w:left w:val="none" w:sz="0" w:space="0" w:color="FFFFFF"/>
              <w:bottom w:val="single" w:sz="4" w:space="0" w:color="000000"/>
              <w:right w:val="none" w:sz="0" w:space="0" w:color="FFFFFF"/>
            </w:tcBorders>
          </w:tcPr>
          <w:p w:rsidR="008F20F8" w:rsidRDefault="00A36F46">
            <w:r>
              <w:rPr>
                <w:sz w:val="18"/>
                <w:szCs w:val="18"/>
              </w:rPr>
              <w:t>F-statistic</w:t>
            </w:r>
          </w:p>
        </w:tc>
        <w:tc>
          <w:tcPr>
            <w:tcW w:w="4680"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3,050528</w:t>
            </w:r>
          </w:p>
        </w:tc>
      </w:tr>
      <w:tr w:rsidR="008F20F8">
        <w:tblPrEx>
          <w:tblCellMar>
            <w:top w:w="0" w:type="dxa"/>
            <w:bottom w:w="0" w:type="dxa"/>
          </w:tblCellMar>
        </w:tblPrEx>
        <w:tc>
          <w:tcPr>
            <w:tcW w:w="4680" w:type="dxa"/>
            <w:tcBorders>
              <w:top w:val="single" w:sz="4" w:space="0" w:color="000000"/>
              <w:left w:val="none" w:sz="0" w:space="0" w:color="FFFFFF"/>
              <w:bottom w:val="single" w:sz="4" w:space="0" w:color="000000"/>
              <w:right w:val="none" w:sz="0" w:space="0" w:color="FFFFFF"/>
            </w:tcBorders>
          </w:tcPr>
          <w:p w:rsidR="008F20F8" w:rsidRDefault="00A36F46">
            <w:r>
              <w:rPr>
                <w:sz w:val="18"/>
                <w:szCs w:val="18"/>
              </w:rPr>
              <w:t>Prob(F-statistic)</w:t>
            </w:r>
          </w:p>
        </w:tc>
        <w:tc>
          <w:tcPr>
            <w:tcW w:w="4680"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0,056804</w:t>
            </w:r>
          </w:p>
        </w:tc>
      </w:tr>
      <w:tr w:rsidR="008F20F8">
        <w:tblPrEx>
          <w:tblCellMar>
            <w:top w:w="0" w:type="dxa"/>
            <w:bottom w:w="0" w:type="dxa"/>
          </w:tblCellMar>
        </w:tblPrEx>
        <w:tc>
          <w:tcPr>
            <w:tcW w:w="4680" w:type="dxa"/>
            <w:tcBorders>
              <w:top w:val="single" w:sz="4" w:space="0" w:color="000000"/>
              <w:left w:val="none" w:sz="0" w:space="0" w:color="FFFFFF"/>
              <w:bottom w:val="single" w:sz="4" w:space="0" w:color="000000"/>
              <w:right w:val="none" w:sz="0" w:space="0" w:color="FFFFFF"/>
            </w:tcBorders>
          </w:tcPr>
          <w:p w:rsidR="008F20F8" w:rsidRDefault="00A36F46">
            <w:r>
              <w:rPr>
                <w:sz w:val="18"/>
                <w:szCs w:val="18"/>
              </w:rPr>
              <w:t>R-squared</w:t>
            </w:r>
          </w:p>
        </w:tc>
        <w:tc>
          <w:tcPr>
            <w:tcW w:w="4680"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0,114895</w:t>
            </w:r>
          </w:p>
        </w:tc>
      </w:tr>
      <w:tr w:rsidR="008F20F8">
        <w:tblPrEx>
          <w:tblCellMar>
            <w:top w:w="0" w:type="dxa"/>
            <w:bottom w:w="0" w:type="dxa"/>
          </w:tblCellMar>
        </w:tblPrEx>
        <w:tc>
          <w:tcPr>
            <w:tcW w:w="4680" w:type="dxa"/>
            <w:tcBorders>
              <w:top w:val="single" w:sz="4" w:space="0" w:color="000000"/>
              <w:left w:val="none" w:sz="0" w:space="0" w:color="FFFFFF"/>
              <w:bottom w:val="single" w:sz="4" w:space="0" w:color="000000"/>
              <w:right w:val="none" w:sz="0" w:space="0" w:color="FFFFFF"/>
            </w:tcBorders>
          </w:tcPr>
          <w:p w:rsidR="008F20F8" w:rsidRDefault="00A36F46">
            <w:r>
              <w:rPr>
                <w:sz w:val="18"/>
                <w:szCs w:val="18"/>
              </w:rPr>
              <w:t>Adjusted R-squared</w:t>
            </w:r>
          </w:p>
        </w:tc>
        <w:tc>
          <w:tcPr>
            <w:tcW w:w="4680" w:type="dxa"/>
            <w:tcBorders>
              <w:top w:val="single" w:sz="4" w:space="0" w:color="000000"/>
              <w:left w:val="none" w:sz="0" w:space="0" w:color="FFFFFF"/>
              <w:bottom w:val="single" w:sz="4" w:space="0" w:color="000000"/>
              <w:right w:val="none" w:sz="0" w:space="0" w:color="FFFFFF"/>
            </w:tcBorders>
          </w:tcPr>
          <w:p w:rsidR="008F20F8" w:rsidRDefault="00A36F46">
            <w:pPr>
              <w:jc w:val="center"/>
            </w:pPr>
            <w:r>
              <w:rPr>
                <w:sz w:val="18"/>
                <w:szCs w:val="18"/>
              </w:rPr>
              <w:t>0,077231</w:t>
            </w:r>
          </w:p>
        </w:tc>
      </w:tr>
    </w:tbl>
    <w:p w:rsidR="008F20F8" w:rsidRDefault="00A36F46">
      <w:pPr>
        <w:spacing w:after="150"/>
      </w:pPr>
      <w:r>
        <w:rPr>
          <w:i/>
          <w:iCs/>
        </w:rPr>
        <w:t>Sumber: Data diolah (2026)</w:t>
      </w:r>
    </w:p>
    <w:p w:rsidR="008F20F8" w:rsidRDefault="00A36F46">
      <w:pPr>
        <w:spacing w:after="100"/>
        <w:ind w:firstLine="431"/>
        <w:jc w:val="both"/>
      </w:pPr>
      <w:r>
        <w:t>Berdasarkan hasil uji simultan, nilai Prob(F-statistic) sebesar 0,056804 &gt;</w:t>
      </w:r>
      <w:r>
        <w:t xml:space="preserve"> 0,05, sehingga dapat disimpulkan bahwa hipotesis ketiga tidak diterima, di mana variabel Kualitas Audit (X1) dan Komite Audit (X2) secara bersama-sama tidak berpengaruh terhadap kualitas pelaporan keuangan (Y). Nilai Adjusted R-squared sebesar 0,114895 at</w:t>
      </w:r>
      <w:r>
        <w:t>au 11,4895% menunjukkan bahwa variabel independen yang terdiri dari kualitas audit dan komite audit mampu menjelaskan variasi kualitas pelaporan keuangan sebesar 11,4895%, sedangkan sisanya 88,5105% dijelaskan oleh variabel lain yang tidak dimasukkan dalam</w:t>
      </w:r>
      <w:r>
        <w:t xml:space="preserve"> model penelitian ini.</w:t>
      </w:r>
    </w:p>
    <w:p w:rsidR="008F20F8" w:rsidRDefault="00A36F46">
      <w:pPr>
        <w:spacing w:before="150" w:after="100"/>
      </w:pPr>
      <w:r>
        <w:rPr>
          <w:b/>
          <w:bCs/>
          <w:color w:val="000000"/>
        </w:rPr>
        <w:t>3.5. Pengaruh Kualitas Audit terhadap Kualitas Pelaporan Keuangan</w:t>
      </w:r>
    </w:p>
    <w:p w:rsidR="008F20F8" w:rsidRDefault="00A36F46">
      <w:pPr>
        <w:spacing w:after="100"/>
        <w:ind w:firstLine="431"/>
        <w:jc w:val="both"/>
      </w:pPr>
      <w:r>
        <w:t>Hasil penelitian menunjukkan bahwa kualitas audit berpengaruh terhadap kualitas pelaporan keuangan pada perusahaan yang terdaftar di Jakarta Islamic Index periode 2020</w:t>
      </w:r>
      <w:r>
        <w:t xml:space="preserve">–2024. Hal ini menunjukkan bahwa perusahaan yang </w:t>
      </w:r>
      <w:r>
        <w:lastRenderedPageBreak/>
        <w:t xml:space="preserve">diaudit oleh Kantor Akuntan Publik (KAP) Big Four cenderung menghasilkan laporan keuangan yang lebih berkualitas dibandingkan perusahaan yang diaudit oleh KAP Non Big Four. Auditor yang memiliki kompetensi, </w:t>
      </w:r>
      <w:r>
        <w:t>independensi, dan reputasi yang baik lebih mampu mendeteksi serta mengungkapkan kesalahan material dalam laporan keuangan sehingga meningkatkan keandalan informasi yang disajikan.</w:t>
      </w:r>
    </w:p>
    <w:p w:rsidR="008F20F8" w:rsidRDefault="00A36F46">
      <w:pPr>
        <w:spacing w:after="100"/>
        <w:ind w:firstLine="431"/>
        <w:jc w:val="both"/>
      </w:pPr>
      <w:r>
        <w:t>Temuan ini sejalan dengan Teori Agensi yang menjelaskan bahwa auditor independen berperan sebagai mekanisme pengawasan untuk mengurangi asimetri informasi antara manajemen dan pemegang saham. Selain itu, hasil penelitian ini juga mendukung Teori Sinyal yan</w:t>
      </w:r>
      <w:r>
        <w:t>g menyatakan bahwa laporan keuangan yang diaudit oleh auditor berkualitas memberikan sinyal positif kepada investor mengenai kredibilitas informasi perusahaan. Hasil penelitian ini sejalan dengan penelitian terdahulu yang menyatakan bahwa kualitas audit be</w:t>
      </w:r>
      <w:r>
        <w:t>rpengaruh terhadap kualitas pelaporan keuangan [15].</w:t>
      </w:r>
    </w:p>
    <w:p w:rsidR="008F20F8" w:rsidRDefault="00A36F46">
      <w:pPr>
        <w:spacing w:before="150" w:after="100"/>
      </w:pPr>
      <w:r>
        <w:rPr>
          <w:b/>
          <w:bCs/>
          <w:color w:val="000000"/>
        </w:rPr>
        <w:t>3.6. Pengaruh Komite Audit terhadap Kualitas Pelaporan Keuangan</w:t>
      </w:r>
    </w:p>
    <w:p w:rsidR="008F20F8" w:rsidRDefault="00A36F46">
      <w:pPr>
        <w:spacing w:after="100"/>
        <w:ind w:firstLine="431"/>
        <w:jc w:val="both"/>
      </w:pPr>
      <w:r>
        <w:t>Hasil penelitian menunjukkan bahwa komite audit tidak berpengaruh terhadap kualitas pelaporan keuangan. Temuan ini mengindikasikan bahwa ju</w:t>
      </w:r>
      <w:r>
        <w:t>mlah anggota komite audit belum mampu menjamin efektivitas pengawasan terhadap proses pelaporan keuangan perusahaan. Efektivitas komite audit tidak hanya ditentukan oleh jumlah anggota, tetapi juga dipengaruhi oleh kompetensi, independensi, pengalaman, dan</w:t>
      </w:r>
      <w:r>
        <w:t xml:space="preserve"> intensitas rapat yang dilakukan.</w:t>
      </w:r>
    </w:p>
    <w:p w:rsidR="008F20F8" w:rsidRDefault="00A36F46">
      <w:pPr>
        <w:spacing w:after="100"/>
        <w:ind w:firstLine="431"/>
        <w:jc w:val="both"/>
      </w:pPr>
      <w:r>
        <w:t>Hasil penelitian ini belum sepenuhnya mendukung Teori Agensi yang menyatakan bahwa komite audit merupakan salah satu mekanisme pengawasan yang dapat meningkatkan kualitas pelaporan keuangan. Tidak signifikannya pengaruh ko</w:t>
      </w:r>
      <w:r>
        <w:t>mite audit menunjukkan bahwa keberadaan komite audit pada perusahaan sampel kemungkinan hanya bertujuan untuk memenuhi ketentuan regulasi sehingga perannya dalam mengawasi proses pelaporan keuangan belum optimal. Hasil penelitian ini sejalan dengan penelit</w:t>
      </w:r>
      <w:r>
        <w:t xml:space="preserve">ian Ermawati dkk. </w:t>
      </w:r>
      <w:proofErr w:type="gramStart"/>
      <w:r>
        <w:t>yang</w:t>
      </w:r>
      <w:proofErr w:type="gramEnd"/>
      <w:r>
        <w:t xml:space="preserve"> menemukan bahwa komite audit tidak berpengaruh terhadap kualitas pelaporan keuangan [9].</w:t>
      </w:r>
    </w:p>
    <w:p w:rsidR="008F20F8" w:rsidRDefault="00A36F46">
      <w:pPr>
        <w:spacing w:before="150" w:after="100"/>
      </w:pPr>
      <w:r>
        <w:rPr>
          <w:b/>
          <w:bCs/>
          <w:color w:val="000000"/>
        </w:rPr>
        <w:t>3.7. Pengaruh Simultan Kualitas Audit dan Komite Audit terhadap Kualitas Pelaporan Keuangan</w:t>
      </w:r>
    </w:p>
    <w:p w:rsidR="008F20F8" w:rsidRDefault="00A36F46">
      <w:pPr>
        <w:spacing w:after="100"/>
        <w:ind w:firstLine="431"/>
        <w:jc w:val="both"/>
      </w:pPr>
      <w:r>
        <w:t xml:space="preserve">Hasil uji simultan menunjukkan bahwa kualitas audit </w:t>
      </w:r>
      <w:r>
        <w:t>dan komite audit secara bersama-sama tidak berpengaruh signifikan terhadap kualitas pelaporan keuangan. Temuan ini menunjukkan bahwa kualitas pelaporan keuangan tidak hanya dipengaruhi oleh kedua variabel tersebut, tetapi juga oleh faktor lain yang tidak d</w:t>
      </w:r>
      <w:r>
        <w:t>iteliti dalam penelitian ini, seperti efektivitas pengendalian internal, ukuran perusahaan, profitabilitas, leverage, integritas manajemen, serta penerapan tata kelola perusahaan yang baik.</w:t>
      </w:r>
    </w:p>
    <w:p w:rsidR="008F20F8" w:rsidRDefault="00A36F46">
      <w:pPr>
        <w:spacing w:after="100"/>
        <w:ind w:firstLine="431"/>
        <w:jc w:val="both"/>
      </w:pPr>
      <w:r>
        <w:t>Selain itu, nilai koefisien determinasi yang relatif rendah menunj</w:t>
      </w:r>
      <w:r>
        <w:t xml:space="preserve">ukkan bahwa kemampuan kualitas audit dan komite audit dalam menjelaskan variasi kualitas pelaporan keuangan masih terbatas. Oleh karena itu, diperlukan penelitian lanjutan dengan menambahkan variabel lain yang lebih relevan agar dapat menjelaskan kualitas </w:t>
      </w:r>
      <w:r>
        <w:t>pelaporan keuangan secara lebih komprehensif. Hasil penelitian ini menunjukkan bahwa meskipun kualitas audit memiliki peran penting dalam meningkatkan kualitas pelaporan keuangan, keberadaan komite audit belum mampu memberikan kontribusi yang signifikan pa</w:t>
      </w:r>
      <w:r>
        <w:t>da perusahaan yang terdaftar di Jakarta Islamic Index periode 2020–2024.</w:t>
      </w:r>
    </w:p>
    <w:p w:rsidR="008F20F8" w:rsidRDefault="00E64D00">
      <w:pPr>
        <w:spacing w:before="200" w:after="100"/>
      </w:pPr>
      <w:r>
        <w:rPr>
          <w:b/>
          <w:bCs/>
          <w:color w:val="000000"/>
        </w:rPr>
        <w:t xml:space="preserve">4. KESIMPULAN </w:t>
      </w:r>
    </w:p>
    <w:p w:rsidR="008F20F8" w:rsidRDefault="00A36F46">
      <w:pPr>
        <w:spacing w:after="100"/>
        <w:ind w:firstLine="431"/>
        <w:jc w:val="both"/>
      </w:pPr>
      <w:r>
        <w:t>Berdasarkan hasil analisis yang telah dilakukan, dapat disimpulkan bahwa kualitas audit berpengaruh signifikan terhadap kualitas pelaporan keuangan pada perusahaan</w:t>
      </w:r>
      <w:r>
        <w:t xml:space="preserve"> yang terdaftar di Jakarta Islamic Index periode 2020–2024, yang menunjukkan bahwa penggunaan Kantor Akuntan Publik (KAP) dengan kualitas audit yang lebih baik mampu meningkatkan kualitas pelaporan keuangan perusahaan, karena auditor yang berkualitas memil</w:t>
      </w:r>
      <w:r>
        <w:t>iki kemampuan yang lebih baik dalam mendeteksi dan mengungkapkan kesalahan material sehingga laporan keuangan yang dihasilkan menjadi lebih andal dan kredibel. Sebaliknya, komite audit tidak berpengaruh signifikan terhadap kualitas pelaporan keuangan, yang</w:t>
      </w:r>
      <w:r>
        <w:t xml:space="preserve"> menunjukkan bahwa jumlah anggota komite audit belum mampu meningkatkan kualitas pelaporan keuangan secara signifikan, karena efektivitas komite audit tidak hanya ditentukan oleh jumlah anggotanya, tetapi juga dipengaruhi oleh kompetensi, independensi, dan</w:t>
      </w:r>
      <w:r>
        <w:t xml:space="preserve"> pelaksanaan fungsi pengawasan yang dilakukan.</w:t>
      </w:r>
    </w:p>
    <w:p w:rsidR="008F20F8" w:rsidRDefault="00A36F46">
      <w:pPr>
        <w:spacing w:after="100"/>
        <w:ind w:firstLine="431"/>
        <w:jc w:val="both"/>
      </w:pPr>
      <w:r>
        <w:t>Secara simultan, kualitas audit dan komite audit tidak berpengaruh signifikan terhadap kualitas pelaporan keuangan pada perusahaan yang terdaftar di Jakarta Islamic Index periode 2020–2024. Hasil ini menunjukk</w:t>
      </w:r>
      <w:r>
        <w:t>an bahwa kualitas pelaporan keuangan tidak hanya dipengaruhi oleh kualitas audit dan komite audit, tetapi juga oleh faktor-faktor lain di luar model penelitian, seperti efektivitas pengendalian internal, kualitas manajemen, struktur kepemilikan, ukuran per</w:t>
      </w:r>
      <w:r>
        <w:t>usahaan, leverage, dan faktor tata kelola perusahaan lainnya. Oleh karena itu, penelitian selanjutnya disarankan untuk menambahkan variabel-variabel tersebut agar model penelitian dapat menjelaskan kualitas pelaporan keuangan secara lebih komprehensif, khu</w:t>
      </w:r>
      <w:r>
        <w:t>susnya pada perusahaan yang tergabung dalam indeks saham syariah.</w:t>
      </w:r>
    </w:p>
    <w:p w:rsidR="004851D3" w:rsidRDefault="004851D3">
      <w:pPr>
        <w:spacing w:before="200" w:after="100"/>
        <w:rPr>
          <w:b/>
          <w:bCs/>
          <w:color w:val="000000"/>
        </w:rPr>
      </w:pPr>
    </w:p>
    <w:p w:rsidR="004851D3" w:rsidRDefault="004851D3">
      <w:pPr>
        <w:spacing w:before="200" w:after="100"/>
        <w:rPr>
          <w:b/>
          <w:bCs/>
          <w:color w:val="000000"/>
        </w:rPr>
      </w:pPr>
    </w:p>
    <w:p w:rsidR="008F20F8" w:rsidRDefault="004851D3">
      <w:pPr>
        <w:spacing w:before="200" w:after="100"/>
      </w:pPr>
      <w:r>
        <w:rPr>
          <w:b/>
          <w:bCs/>
          <w:color w:val="000000"/>
        </w:rPr>
        <w:lastRenderedPageBreak/>
        <w:t xml:space="preserve">DAFTAR PUSTAKA </w:t>
      </w:r>
    </w:p>
    <w:p w:rsidR="008F20F8" w:rsidRDefault="00A36F46">
      <w:pPr>
        <w:spacing w:after="60"/>
        <w:ind w:left="431" w:hanging="431"/>
      </w:pPr>
      <w:r>
        <w:rPr>
          <w:sz w:val="16"/>
          <w:szCs w:val="16"/>
        </w:rPr>
        <w:t>[1] A. Rifqi, “Analisis Jakarta Islamic Index (JII) terhadap pertumbuhan ekonomi dan inflasi di Indonesia,” Al-Mizan: J. Ekon. Syariah, vol. 4, no. 2, pp. 55–67, 2021.</w:t>
      </w:r>
    </w:p>
    <w:p w:rsidR="008F20F8" w:rsidRDefault="00A36F46">
      <w:pPr>
        <w:spacing w:after="60"/>
        <w:ind w:left="431" w:hanging="431"/>
      </w:pPr>
      <w:r>
        <w:rPr>
          <w:sz w:val="16"/>
          <w:szCs w:val="16"/>
        </w:rPr>
        <w:t>[2] W. Yadiati and A. Mubarok, Kualitas Pelaporan Keuangan: Kajian Teoritis dan Empiris. Jakarta, Indonesia: Kencana, 2017.</w:t>
      </w:r>
    </w:p>
    <w:p w:rsidR="008F20F8" w:rsidRDefault="00A36F46">
      <w:pPr>
        <w:spacing w:after="60"/>
        <w:ind w:left="431" w:hanging="431"/>
      </w:pPr>
      <w:r>
        <w:rPr>
          <w:sz w:val="16"/>
          <w:szCs w:val="16"/>
        </w:rPr>
        <w:t>[3] Badan Pemeriksa Keuangan Republik Indonesia, “BPK serahkan LHP investigatif pada PT Indofarma Tbk kepada Jaksa Agung,” bpk.go.id, n.d.</w:t>
      </w:r>
    </w:p>
    <w:p w:rsidR="008F20F8" w:rsidRDefault="00A36F46">
      <w:pPr>
        <w:spacing w:after="60"/>
        <w:ind w:left="431" w:hanging="431"/>
      </w:pPr>
      <w:r>
        <w:rPr>
          <w:sz w:val="16"/>
          <w:szCs w:val="16"/>
        </w:rPr>
        <w:t>[4] Otoritas Jasa Keuangan, “OJK tetapkan sanksi administratif terhadap PT Hanson Internasional Tbk,” ojk.go.id, n.d.</w:t>
      </w:r>
    </w:p>
    <w:p w:rsidR="008F20F8" w:rsidRDefault="00A36F46">
      <w:pPr>
        <w:spacing w:after="60"/>
        <w:ind w:left="431" w:hanging="431"/>
      </w:pPr>
      <w:r>
        <w:rPr>
          <w:sz w:val="16"/>
          <w:szCs w:val="16"/>
        </w:rPr>
        <w:t>[5] V. K. Subroto and E. Endaryati, Kumpulan Teori Akuntansi. Semarang, Indonesia: Yayasan Prima Agus Teknik, 2024.</w:t>
      </w:r>
    </w:p>
    <w:p w:rsidR="008F20F8" w:rsidRDefault="00A36F46">
      <w:pPr>
        <w:spacing w:after="60"/>
        <w:ind w:left="431" w:hanging="431"/>
      </w:pPr>
      <w:r>
        <w:rPr>
          <w:sz w:val="16"/>
          <w:szCs w:val="16"/>
        </w:rPr>
        <w:t>[6] Junaidi and Nurdiono, Kualitas Audit Perspektif Opini Going Concern. Yogyakarta, Indonesia: Penerbit ANDI, 2016.</w:t>
      </w:r>
    </w:p>
    <w:p w:rsidR="008F20F8" w:rsidRDefault="00A36F46">
      <w:pPr>
        <w:spacing w:after="60"/>
        <w:ind w:left="431" w:hanging="431"/>
      </w:pPr>
      <w:r>
        <w:rPr>
          <w:sz w:val="16"/>
          <w:szCs w:val="16"/>
        </w:rPr>
        <w:t>[7] D. A. Wulandari an</w:t>
      </w:r>
      <w:r>
        <w:rPr>
          <w:sz w:val="16"/>
          <w:szCs w:val="16"/>
        </w:rPr>
        <w:t>d Y. A. Nurcahya, “Analisis kualitas audit ditinjau dari aspek independensi, profesionalisme, dan etika auditor,” SENTRI: J. Riset Ilmiah, vol. 2, no. 3, pp. 637–643, 2023.</w:t>
      </w:r>
    </w:p>
    <w:p w:rsidR="008F20F8" w:rsidRDefault="00A36F46">
      <w:pPr>
        <w:spacing w:after="60"/>
        <w:ind w:left="431" w:hanging="431"/>
      </w:pPr>
      <w:r>
        <w:rPr>
          <w:sz w:val="16"/>
          <w:szCs w:val="16"/>
        </w:rPr>
        <w:t>[8] A. Zaki and D. Yusri, “Teori akuntansi: Sebuah pemahaman untuk mendukung peneli</w:t>
      </w:r>
      <w:r>
        <w:rPr>
          <w:sz w:val="16"/>
          <w:szCs w:val="16"/>
        </w:rPr>
        <w:t>tian di bidang akuntansi,” J. Ilmu Pendidikan, vol. 7, 2020.</w:t>
      </w:r>
    </w:p>
    <w:p w:rsidR="008F20F8" w:rsidRDefault="00A36F46">
      <w:pPr>
        <w:spacing w:after="60"/>
        <w:ind w:left="431" w:hanging="431"/>
      </w:pPr>
      <w:r>
        <w:rPr>
          <w:sz w:val="16"/>
          <w:szCs w:val="16"/>
        </w:rPr>
        <w:t>[9] L. Ermawati, Y. Devi, and N. N. Arramadani, “Pengaruh kualitas audit dan komite audit terhadap kualitas pelaporan keuangan perusahaan yang terdaftar di Jakarta Islamic Index (JII),” J. Akunt.</w:t>
      </w:r>
      <w:r>
        <w:rPr>
          <w:sz w:val="16"/>
          <w:szCs w:val="16"/>
        </w:rPr>
        <w:t xml:space="preserve"> </w:t>
      </w:r>
      <w:proofErr w:type="gramStart"/>
      <w:r>
        <w:rPr>
          <w:sz w:val="16"/>
          <w:szCs w:val="16"/>
        </w:rPr>
        <w:t>dan</w:t>
      </w:r>
      <w:proofErr w:type="gramEnd"/>
      <w:r>
        <w:rPr>
          <w:sz w:val="16"/>
          <w:szCs w:val="16"/>
        </w:rPr>
        <w:t xml:space="preserve"> Keuangan, vol. 11, no. 1, pp. 92–111, 2020.</w:t>
      </w:r>
    </w:p>
    <w:p w:rsidR="008F20F8" w:rsidRDefault="00A36F46">
      <w:pPr>
        <w:spacing w:after="60"/>
        <w:ind w:left="431" w:hanging="431"/>
      </w:pPr>
      <w:r>
        <w:rPr>
          <w:sz w:val="16"/>
          <w:szCs w:val="16"/>
        </w:rPr>
        <w:t>[10] N. N. Sari and R. Y. Muslim, “Pengaruh kualitas audit dan komite audit terhadap kualitas pelaporan keuangan,” Abstr. Undergrad. Res., pp. 1–3, 2021.</w:t>
      </w:r>
    </w:p>
    <w:p w:rsidR="008F20F8" w:rsidRDefault="00A36F46">
      <w:pPr>
        <w:spacing w:after="60"/>
        <w:ind w:left="431" w:hanging="431"/>
      </w:pPr>
      <w:r>
        <w:rPr>
          <w:sz w:val="16"/>
          <w:szCs w:val="16"/>
        </w:rPr>
        <w:t>[11] R. Akbar, U. S. Sukmawati, and K. Katsirin, “Ana</w:t>
      </w:r>
      <w:r>
        <w:rPr>
          <w:sz w:val="16"/>
          <w:szCs w:val="16"/>
        </w:rPr>
        <w:t>lisis data penelitian kuantitatif,” J. Pelita Nusantara, vol. 1, no. 3, pp. 430–448, 2024.</w:t>
      </w:r>
    </w:p>
    <w:p w:rsidR="008F20F8" w:rsidRDefault="00A36F46">
      <w:pPr>
        <w:spacing w:after="60"/>
        <w:ind w:left="431" w:hanging="431"/>
      </w:pPr>
      <w:r>
        <w:rPr>
          <w:sz w:val="16"/>
          <w:szCs w:val="16"/>
        </w:rPr>
        <w:t>[12] A. T. Basuki, Analisis Data Panel. Yogyakarta, Indonesia, 2021.</w:t>
      </w:r>
    </w:p>
    <w:p w:rsidR="008F20F8" w:rsidRDefault="00A36F46">
      <w:pPr>
        <w:spacing w:after="60"/>
        <w:ind w:left="431" w:hanging="431"/>
      </w:pPr>
      <w:r>
        <w:rPr>
          <w:sz w:val="16"/>
          <w:szCs w:val="16"/>
        </w:rPr>
        <w:t>[13] A. M. Nursan, “Buku ajar analisis regresi data panel,” 2025.</w:t>
      </w:r>
    </w:p>
    <w:p w:rsidR="008F20F8" w:rsidRDefault="00A36F46">
      <w:pPr>
        <w:spacing w:after="60"/>
        <w:ind w:left="431" w:hanging="431"/>
      </w:pPr>
      <w:r>
        <w:rPr>
          <w:sz w:val="16"/>
          <w:szCs w:val="16"/>
        </w:rPr>
        <w:t xml:space="preserve">[14] Nani, “E-book data panel </w:t>
      </w:r>
      <w:r>
        <w:rPr>
          <w:sz w:val="16"/>
          <w:szCs w:val="16"/>
        </w:rPr>
        <w:t>EViews,” Visi Intelegensia, 2022.</w:t>
      </w:r>
    </w:p>
    <w:p w:rsidR="008F20F8" w:rsidRDefault="00A36F46">
      <w:pPr>
        <w:spacing w:after="60"/>
        <w:ind w:left="431" w:hanging="431"/>
      </w:pPr>
      <w:r>
        <w:rPr>
          <w:sz w:val="16"/>
          <w:szCs w:val="16"/>
        </w:rPr>
        <w:t xml:space="preserve">[15] O. Mutiara, “Pengaruh kualitas audit terhadap kualitas laporan keuangan pada perusahaan pembiayaan yang terdaftar di BEI tahun 2017–2021,” Ekon. </w:t>
      </w:r>
      <w:proofErr w:type="gramStart"/>
      <w:r>
        <w:rPr>
          <w:sz w:val="16"/>
          <w:szCs w:val="16"/>
        </w:rPr>
        <w:t>dan</w:t>
      </w:r>
      <w:proofErr w:type="gramEnd"/>
      <w:r>
        <w:rPr>
          <w:sz w:val="16"/>
          <w:szCs w:val="16"/>
        </w:rPr>
        <w:t xml:space="preserve"> Bisnis, 2024.</w:t>
      </w:r>
    </w:p>
    <w:p w:rsidR="008F20F8" w:rsidRDefault="008F20F8">
      <w:pPr>
        <w:spacing w:after="100"/>
        <w:ind w:firstLine="431"/>
        <w:jc w:val="both"/>
      </w:pPr>
      <w:bookmarkStart w:id="0" w:name="_GoBack"/>
      <w:bookmarkEnd w:id="0"/>
    </w:p>
    <w:sectPr w:rsidR="008F20F8">
      <w:headerReference w:type="default" r:id="rId7"/>
      <w:footerReference w:type="default" r:id="rId8"/>
      <w:pgSz w:w="11906" w:h="16838"/>
      <w:pgMar w:top="1411" w:right="1137" w:bottom="1137" w:left="1411"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6F46" w:rsidRDefault="00A36F46">
      <w:r>
        <w:separator/>
      </w:r>
    </w:p>
  </w:endnote>
  <w:endnote w:type="continuationSeparator" w:id="0">
    <w:p w:rsidR="00A36F46" w:rsidRDefault="00A36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20F8" w:rsidRDefault="008F20F8">
    <w:pPr>
      <w:pBdr>
        <w:top w:val="single" w:sz="6" w:space="4" w:color="000000"/>
      </w:pBdr>
    </w:pPr>
  </w:p>
  <w:p w:rsidR="008F20F8" w:rsidRDefault="008F20F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6F46" w:rsidRDefault="00A36F46">
      <w:r>
        <w:separator/>
      </w:r>
    </w:p>
  </w:footnote>
  <w:footnote w:type="continuationSeparator" w:id="0">
    <w:p w:rsidR="00A36F46" w:rsidRDefault="00A36F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360"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000"/>
      <w:gridCol w:w="2360"/>
    </w:tblGrid>
    <w:tr w:rsidR="008F20F8">
      <w:tblPrEx>
        <w:tblCellMar>
          <w:top w:w="0" w:type="dxa"/>
          <w:bottom w:w="0" w:type="dxa"/>
        </w:tblCellMar>
      </w:tblPrEx>
      <w:tc>
        <w:tcPr>
          <w:tcW w:w="7000" w:type="dxa"/>
          <w:tcBorders>
            <w:top w:val="none" w:sz="0" w:space="0" w:color="FFFFFF"/>
            <w:left w:val="none" w:sz="0" w:space="0" w:color="FFFFFF"/>
            <w:bottom w:val="none" w:sz="0" w:space="0" w:color="FFFFFF"/>
            <w:right w:val="none" w:sz="0" w:space="0" w:color="FFFFFF"/>
          </w:tcBorders>
        </w:tcPr>
        <w:p w:rsidR="008F20F8" w:rsidRDefault="00A36F46">
          <w:r>
            <w:rPr>
              <w:b/>
              <w:bCs/>
            </w:rPr>
            <w:t>TANJAK; Jurnal Tinjauan Syariah</w:t>
          </w:r>
        </w:p>
        <w:p w:rsidR="008F20F8" w:rsidRDefault="00A36F46">
          <w:r>
            <w:t>Vol. xx, No. x, Bulan 20xx, pp. xx~xx</w:t>
          </w:r>
        </w:p>
        <w:p w:rsidR="008F20F8" w:rsidRDefault="00A36F46">
          <w:r>
            <w:t>ISSN: xxxx-xxxx, DOI: 10.xxxxx/</w:t>
          </w:r>
          <w:r>
            <w:t>tanjak.vxxixx.paperID</w:t>
          </w:r>
        </w:p>
      </w:tc>
      <w:tc>
        <w:tcPr>
          <w:tcW w:w="2360" w:type="dxa"/>
          <w:tcBorders>
            <w:top w:val="none" w:sz="0" w:space="0" w:color="FFFFFF"/>
            <w:left w:val="none" w:sz="0" w:space="0" w:color="FFFFFF"/>
            <w:bottom w:val="none" w:sz="0" w:space="0" w:color="FFFFFF"/>
            <w:right w:val="none" w:sz="0" w:space="0" w:color="FFFFFF"/>
          </w:tcBorders>
          <w:vAlign w:val="bottom"/>
        </w:tcPr>
        <w:p w:rsidR="008F20F8" w:rsidRDefault="00A36F46">
          <w:pPr>
            <w:jc w:val="right"/>
          </w:pPr>
          <w:r>
            <w:fldChar w:fldCharType="begin"/>
          </w:r>
          <w:r>
            <w:instrText>PAGE</w:instrText>
          </w:r>
          <w:r w:rsidR="00507337">
            <w:fldChar w:fldCharType="separate"/>
          </w:r>
          <w:r w:rsidR="00F0790A">
            <w:rPr>
              <w:noProof/>
            </w:rPr>
            <w:t>5</w:t>
          </w:r>
          <w:r>
            <w:fldChar w:fldCharType="end"/>
          </w:r>
        </w:p>
      </w:tc>
    </w:tr>
  </w:tbl>
  <w:p w:rsidR="008F20F8" w:rsidRDefault="008F20F8">
    <w:pPr>
      <w:pBdr>
        <w:bottom w:val="single" w:sz="6" w:space="4" w:color="00000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757F97"/>
    <w:multiLevelType w:val="hybridMultilevel"/>
    <w:tmpl w:val="49FCA454"/>
    <w:lvl w:ilvl="0" w:tplc="B3AEB1A6">
      <w:start w:val="1"/>
      <w:numFmt w:val="bullet"/>
      <w:lvlText w:val="●"/>
      <w:lvlJc w:val="left"/>
      <w:pPr>
        <w:ind w:left="720" w:hanging="360"/>
      </w:pPr>
    </w:lvl>
    <w:lvl w:ilvl="1" w:tplc="C486CBAE">
      <w:start w:val="1"/>
      <w:numFmt w:val="bullet"/>
      <w:lvlText w:val="○"/>
      <w:lvlJc w:val="left"/>
      <w:pPr>
        <w:ind w:left="1440" w:hanging="360"/>
      </w:pPr>
    </w:lvl>
    <w:lvl w:ilvl="2" w:tplc="747E7224">
      <w:start w:val="1"/>
      <w:numFmt w:val="bullet"/>
      <w:lvlText w:val="■"/>
      <w:lvlJc w:val="left"/>
      <w:pPr>
        <w:ind w:left="2160" w:hanging="360"/>
      </w:pPr>
    </w:lvl>
    <w:lvl w:ilvl="3" w:tplc="37CE59A0">
      <w:start w:val="1"/>
      <w:numFmt w:val="bullet"/>
      <w:lvlText w:val="●"/>
      <w:lvlJc w:val="left"/>
      <w:pPr>
        <w:ind w:left="2880" w:hanging="360"/>
      </w:pPr>
    </w:lvl>
    <w:lvl w:ilvl="4" w:tplc="A26A5B96">
      <w:start w:val="1"/>
      <w:numFmt w:val="bullet"/>
      <w:lvlText w:val="○"/>
      <w:lvlJc w:val="left"/>
      <w:pPr>
        <w:ind w:left="3600" w:hanging="360"/>
      </w:pPr>
    </w:lvl>
    <w:lvl w:ilvl="5" w:tplc="EA6243DA">
      <w:start w:val="1"/>
      <w:numFmt w:val="bullet"/>
      <w:lvlText w:val="■"/>
      <w:lvlJc w:val="left"/>
      <w:pPr>
        <w:ind w:left="4320" w:hanging="360"/>
      </w:pPr>
    </w:lvl>
    <w:lvl w:ilvl="6" w:tplc="69486A06">
      <w:start w:val="1"/>
      <w:numFmt w:val="bullet"/>
      <w:lvlText w:val="●"/>
      <w:lvlJc w:val="left"/>
      <w:pPr>
        <w:ind w:left="5040" w:hanging="360"/>
      </w:pPr>
    </w:lvl>
    <w:lvl w:ilvl="7" w:tplc="F0C41F2E">
      <w:start w:val="1"/>
      <w:numFmt w:val="bullet"/>
      <w:lvlText w:val="●"/>
      <w:lvlJc w:val="left"/>
      <w:pPr>
        <w:ind w:left="5760" w:hanging="360"/>
      </w:pPr>
    </w:lvl>
    <w:lvl w:ilvl="8" w:tplc="737CC40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0F8"/>
    <w:rsid w:val="00450769"/>
    <w:rsid w:val="004851D3"/>
    <w:rsid w:val="00507337"/>
    <w:rsid w:val="008F20F8"/>
    <w:rsid w:val="00941874"/>
    <w:rsid w:val="00947D0B"/>
    <w:rsid w:val="009E66E3"/>
    <w:rsid w:val="00A36F46"/>
    <w:rsid w:val="00B45B9E"/>
    <w:rsid w:val="00E64D00"/>
    <w:rsid w:val="00F079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95B256-DAD4-48CD-A7A7-ED943E7B5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41874"/>
    <w:pPr>
      <w:tabs>
        <w:tab w:val="center" w:pos="4680"/>
        <w:tab w:val="right" w:pos="9360"/>
      </w:tabs>
    </w:pPr>
  </w:style>
  <w:style w:type="character" w:customStyle="1" w:styleId="HeaderChar">
    <w:name w:val="Header Char"/>
    <w:basedOn w:val="DefaultParagraphFont"/>
    <w:link w:val="Header"/>
    <w:uiPriority w:val="99"/>
    <w:rsid w:val="00941874"/>
  </w:style>
  <w:style w:type="paragraph" w:styleId="Footer">
    <w:name w:val="footer"/>
    <w:basedOn w:val="Normal"/>
    <w:link w:val="FooterChar"/>
    <w:uiPriority w:val="99"/>
    <w:unhideWhenUsed/>
    <w:rsid w:val="00941874"/>
    <w:pPr>
      <w:tabs>
        <w:tab w:val="center" w:pos="4680"/>
        <w:tab w:val="right" w:pos="9360"/>
      </w:tabs>
    </w:pPr>
  </w:style>
  <w:style w:type="character" w:customStyle="1" w:styleId="FooterChar">
    <w:name w:val="Footer Char"/>
    <w:basedOn w:val="DefaultParagraphFont"/>
    <w:link w:val="Footer"/>
    <w:uiPriority w:val="99"/>
    <w:rsid w:val="009418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3251</Words>
  <Characters>18534</Characters>
  <Application>Microsoft Office Word</Application>
  <DocSecurity>0</DocSecurity>
  <Lines>154</Lines>
  <Paragraphs>43</Paragraphs>
  <ScaleCrop>false</ScaleCrop>
  <Company/>
  <LinksUpToDate>false</LinksUpToDate>
  <CharactersWithSpaces>21742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account</cp:lastModifiedBy>
  <cp:revision>10</cp:revision>
  <dcterms:created xsi:type="dcterms:W3CDTF">2026-09-18T06:35:00Z</dcterms:created>
  <dcterms:modified xsi:type="dcterms:W3CDTF">2026-09-18T13:18:00Z</dcterms:modified>
</cp:coreProperties>
</file>