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538" w:rsidRDefault="000A31F8">
      <w:pPr>
        <w:spacing w:after="200"/>
        <w:jc w:val="center"/>
      </w:pPr>
      <w:r>
        <w:rPr>
          <w:b/>
          <w:bCs/>
          <w:sz w:val="32"/>
          <w:szCs w:val="32"/>
        </w:rPr>
        <w:t>Analisis Kualitas Pengungkapan (Disclosure Quality) pada Laporan Keuangan Unit Usaha Simpan Pinjam (USP) Desa Jangkang Ditinjau dalam Perspektif Akuntansi Syariah</w:t>
      </w:r>
    </w:p>
    <w:p w:rsidR="000E2538" w:rsidRPr="00BC05CC" w:rsidRDefault="000A31F8">
      <w:pPr>
        <w:jc w:val="center"/>
        <w:rPr>
          <w:b/>
          <w:bCs/>
        </w:rPr>
      </w:pPr>
      <w:r w:rsidRPr="00BC05CC">
        <w:rPr>
          <w:b/>
          <w:bCs/>
        </w:rPr>
        <w:t>Muhammad Rizki</w:t>
      </w:r>
      <w:r w:rsidR="00BC05CC" w:rsidRPr="00BC05CC">
        <w:rPr>
          <w:b/>
          <w:bCs/>
          <w:vertAlign w:val="superscript"/>
        </w:rPr>
        <w:t>1</w:t>
      </w:r>
      <w:r w:rsidRPr="00BC05CC">
        <w:rPr>
          <w:b/>
          <w:bCs/>
        </w:rPr>
        <w:t>, Saifullah</w:t>
      </w:r>
    </w:p>
    <w:p w:rsidR="000E2538" w:rsidRDefault="000A31F8" w:rsidP="00BC05CC">
      <w:pPr>
        <w:jc w:val="center"/>
        <w:rPr>
          <w:sz w:val="16"/>
          <w:szCs w:val="16"/>
        </w:rPr>
      </w:pPr>
      <w:r>
        <w:rPr>
          <w:sz w:val="16"/>
          <w:szCs w:val="16"/>
        </w:rPr>
        <w:t>Program Studi Akuntansi Syariah, Fakultas Syariah dan Ekonomi Islam</w:t>
      </w:r>
      <w:r w:rsidR="00BC05CC">
        <w:t xml:space="preserve">, </w:t>
      </w:r>
      <w:r>
        <w:rPr>
          <w:sz w:val="16"/>
          <w:szCs w:val="16"/>
        </w:rPr>
        <w:t>Institut Agama Islam Negeri (IAIN) Datuk Laksamana Bengkalis, Indonesia</w:t>
      </w:r>
    </w:p>
    <w:p w:rsidR="00CB0C3A" w:rsidRDefault="00CB0C3A" w:rsidP="00BC05CC">
      <w:pPr>
        <w:jc w:val="center"/>
      </w:pPr>
    </w:p>
    <w:tbl>
      <w:tblPr>
        <w:tblW w:w="9360" w:type="dxa"/>
        <w:tblInd w:w="-10" w:type="dxa"/>
        <w:tblBorders>
          <w:top w:val="double" w:sz="4" w:space="0" w:color="auto"/>
        </w:tblBorders>
        <w:tblCellMar>
          <w:left w:w="10" w:type="dxa"/>
          <w:right w:w="10" w:type="dxa"/>
        </w:tblCellMar>
        <w:tblLook w:val="04A0" w:firstRow="1" w:lastRow="0" w:firstColumn="1" w:lastColumn="0" w:noHBand="0" w:noVBand="1"/>
      </w:tblPr>
      <w:tblGrid>
        <w:gridCol w:w="2800"/>
        <w:gridCol w:w="6560"/>
      </w:tblGrid>
      <w:tr w:rsidR="000E2538" w:rsidTr="00CB0C3A">
        <w:tblPrEx>
          <w:tblCellMar>
            <w:top w:w="0" w:type="dxa"/>
            <w:bottom w:w="0" w:type="dxa"/>
          </w:tblCellMar>
        </w:tblPrEx>
        <w:tc>
          <w:tcPr>
            <w:tcW w:w="2800" w:type="dxa"/>
          </w:tcPr>
          <w:p w:rsidR="000E2538" w:rsidRDefault="000A31F8">
            <w:pPr>
              <w:spacing w:after="200"/>
            </w:pPr>
            <w:r>
              <w:rPr>
                <w:b/>
                <w:bCs/>
                <w:i/>
                <w:iCs/>
              </w:rPr>
              <w:t>Article Info</w:t>
            </w:r>
          </w:p>
          <w:p w:rsidR="000E2538" w:rsidRDefault="000A31F8">
            <w:r>
              <w:rPr>
                <w:b/>
                <w:bCs/>
                <w:i/>
                <w:iCs/>
              </w:rPr>
              <w:t>Article history:</w:t>
            </w:r>
          </w:p>
          <w:p w:rsidR="00CB0C3A" w:rsidRDefault="00CB0C3A"/>
          <w:p w:rsidR="00CB0C3A" w:rsidRDefault="00CB0C3A"/>
          <w:p w:rsidR="00CB0C3A" w:rsidRDefault="00CB0C3A"/>
          <w:p w:rsidR="00CB0C3A" w:rsidRDefault="00CB0C3A"/>
          <w:p w:rsidR="000E2538" w:rsidRDefault="000A31F8">
            <w:r>
              <w:rPr>
                <w:b/>
                <w:bCs/>
                <w:i/>
                <w:iCs/>
              </w:rPr>
              <w:t>Keywords:</w:t>
            </w:r>
          </w:p>
          <w:p w:rsidR="000E2538" w:rsidRDefault="000A31F8">
            <w:r>
              <w:t>Kualitas Pe</w:t>
            </w:r>
            <w:r>
              <w:t>ngungkapan</w:t>
            </w:r>
          </w:p>
          <w:p w:rsidR="000E2538" w:rsidRDefault="000A31F8">
            <w:r>
              <w:t>Laporan Keuangan</w:t>
            </w:r>
          </w:p>
          <w:p w:rsidR="000E2538" w:rsidRDefault="000A31F8">
            <w:r>
              <w:t>Perspektif Akuntansi Syariah</w:t>
            </w:r>
          </w:p>
          <w:p w:rsidR="000E2538" w:rsidRDefault="000A31F8">
            <w:r>
              <w:t>Usaha Simpan Pinjam</w:t>
            </w:r>
          </w:p>
        </w:tc>
        <w:tc>
          <w:tcPr>
            <w:tcW w:w="6560" w:type="dxa"/>
          </w:tcPr>
          <w:p w:rsidR="000E2538" w:rsidRDefault="00CB0C3A">
            <w:pPr>
              <w:spacing w:after="100"/>
            </w:pPr>
            <w:r>
              <w:rPr>
                <w:b/>
                <w:bCs/>
              </w:rPr>
              <w:t xml:space="preserve">ABSTRAK </w:t>
            </w:r>
          </w:p>
          <w:p w:rsidR="000E2538" w:rsidRDefault="000A31F8">
            <w:pPr>
              <w:spacing w:after="200"/>
              <w:jc w:val="both"/>
            </w:pPr>
            <w:r>
              <w:t xml:space="preserve">Penelitian ini bertujuan untuk menganalisis kualitas pengungkapan (disclosure quality) laporan keuangan Unit Usaha Simpan Pinjam (USP) Desa Jangkang serta menilai </w:t>
            </w:r>
            <w:r>
              <w:t>pemenuhan prinsip akuntansi syariah dan kesesuaian pengungkapan informasi keuangan dengan ketentuan syariah. Penelitian ini menggunakan jenis penelitian deskriptif dengan pendekatan kualitatif melalui metode analisis dokumen dan wawancara terhadap pengelol</w:t>
            </w:r>
            <w:r>
              <w:t>a USP. Hasil penelitian menunjukkan bahwa kualitas pengungkapan laporan keuangan USP Desa Jangkang berada pada kategori cukup baik, ditandai dengan tersusunnya laporan keuangan utama seperti neraca, laporan laba rugi, dan jurnal, namun masih terdapat kelem</w:t>
            </w:r>
            <w:r>
              <w:t xml:space="preserve">ahan berupa tidak adanya catatan atas laporan keuangan, kebijakan akuntansi, serta rincian informasi yang memadai. Dari aspek akuntansi syariah, USP telah menerapkan prinsip kejujuran, amanah, keadilan, dan transparansi dalam praktik operasional, meskipun </w:t>
            </w:r>
            <w:r>
              <w:t xml:space="preserve">belum didukung oleh kelembagaan formal seperti Dewan Pengawas Syariah. Selain itu, kesesuaian dengan ketentuan syariah menunjukkan bahwa USP telah menghindari unsur riba dan gharar melalui penggunaan akad syariah, namun pengungkapan dalam laporan keuangan </w:t>
            </w:r>
            <w:r>
              <w:t>belum mencerminkan hal tersebut secara eksplisit. Oleh karena itu, diperlukan peningkatan kualitas pengungkapan dan penguatan aspek kelembagaan agar sesuai dengan standar akuntansi syariah secara menyeluruh.</w:t>
            </w:r>
          </w:p>
          <w:p w:rsidR="000E2538" w:rsidRDefault="000A31F8">
            <w:r>
              <w:rPr>
                <w:i/>
                <w:iCs/>
              </w:rPr>
              <w:t>Ini adalah artikel akses terbuka di bawah lisens</w:t>
            </w:r>
            <w:r>
              <w:rPr>
                <w:i/>
                <w:iCs/>
              </w:rPr>
              <w:t xml:space="preserve">i </w:t>
            </w:r>
            <w:hyperlink r:id="rId7" w:history="1">
              <w:r>
                <w:rPr>
                  <w:i/>
                  <w:iCs/>
                  <w:color w:val="0000FF"/>
                  <w:u w:val="single"/>
                </w:rPr>
                <w:t>CC BY-SA</w:t>
              </w:r>
            </w:hyperlink>
            <w:r>
              <w:rPr>
                <w:i/>
                <w:iCs/>
              </w:rPr>
              <w:t>.</w:t>
            </w:r>
          </w:p>
        </w:tc>
      </w:tr>
    </w:tbl>
    <w:p w:rsidR="000E2538" w:rsidRDefault="000E2538">
      <w:pPr>
        <w:pBdr>
          <w:bottom w:val="single" w:sz="6" w:space="4" w:color="000000"/>
        </w:pBdr>
        <w:spacing w:before="200" w:after="150"/>
      </w:pPr>
    </w:p>
    <w:p w:rsidR="000E2538" w:rsidRDefault="000A31F8">
      <w:r>
        <w:rPr>
          <w:b/>
          <w:bCs/>
          <w:i/>
          <w:iCs/>
        </w:rPr>
        <w:t>Corresponding Author:</w:t>
      </w:r>
    </w:p>
    <w:p w:rsidR="000E2538" w:rsidRDefault="000A31F8">
      <w:pPr>
        <w:spacing w:before="100"/>
      </w:pPr>
      <w:r>
        <w:t>Muhammad Rizki</w:t>
      </w:r>
    </w:p>
    <w:p w:rsidR="000E2538" w:rsidRDefault="000A31F8">
      <w:r>
        <w:rPr>
          <w:b/>
          <w:bCs/>
        </w:rPr>
        <w:t>Program Studi Akuntansi Syariah, Fakultas Syariah dan Ekonomi Islam</w:t>
      </w:r>
    </w:p>
    <w:p w:rsidR="000E2538" w:rsidRDefault="000A31F8">
      <w:r>
        <w:rPr>
          <w:b/>
          <w:bCs/>
        </w:rPr>
        <w:t>Institut Agama Islam Negeri (IAIN) Datuk Laksamana Bengkalis</w:t>
      </w:r>
    </w:p>
    <w:p w:rsidR="000E2538" w:rsidRDefault="000A31F8">
      <w:r>
        <w:t>Email: aldobomel511@gmail.com</w:t>
      </w:r>
    </w:p>
    <w:p w:rsidR="000E2538" w:rsidRDefault="000E2538" w:rsidP="00364A14">
      <w:pPr>
        <w:pBdr>
          <w:bottom w:val="single" w:sz="6" w:space="0" w:color="000000"/>
        </w:pBdr>
        <w:spacing w:before="150" w:after="200"/>
      </w:pPr>
    </w:p>
    <w:p w:rsidR="000E2538" w:rsidRDefault="00364A14">
      <w:pPr>
        <w:spacing w:before="200" w:after="100"/>
      </w:pPr>
      <w:r>
        <w:rPr>
          <w:b/>
          <w:bCs/>
          <w:color w:val="000000"/>
        </w:rPr>
        <w:t xml:space="preserve">1. PENDAHULUAN </w:t>
      </w:r>
    </w:p>
    <w:p w:rsidR="000E2538" w:rsidRDefault="000A31F8">
      <w:pPr>
        <w:spacing w:after="100"/>
        <w:ind w:firstLine="431"/>
        <w:jc w:val="both"/>
      </w:pPr>
      <w:r>
        <w:t>Pembangunan ekonomi desa merupakan salah satu bagian penting dalam mewujudkan kesejahteraan masyarakat yang berkeadilan dan berkelanjutan. Desa tidak lagi hanya diposisikan sebagai objek pembangunan, tetapi juga sebagai subjek yang memiliki potensi ekonomi</w:t>
      </w:r>
      <w:r>
        <w:t xml:space="preserve"> untuk dikelola secara optimal. Dalam konteks tersebut, penguatan kelembagaan ekonomi desa diperlukan untuk mendukung kemandirian dan ketahanan ekonomi masyarakat [1]. Salah satu bentuk kelembagaan ekonomi desa adalah Unit Usaha Simpan Pinjam (USP), yang b</w:t>
      </w:r>
      <w:r>
        <w:t>erperan sebagai lembaga keuangan mikro dalam menyediakan layanan simpanan dan pembiayaan, khususnya bagi masyarakat dan pelaku usaha yang memiliki keterbatasan akses terhadap lembaga keuangan formal.</w:t>
      </w:r>
    </w:p>
    <w:p w:rsidR="000E2538" w:rsidRDefault="000A31F8">
      <w:pPr>
        <w:spacing w:after="100"/>
        <w:ind w:firstLine="431"/>
        <w:jc w:val="both"/>
      </w:pPr>
      <w:r>
        <w:t>Selain menjalankan fungsi intermediasi keuangan, USP ber</w:t>
      </w:r>
      <w:r>
        <w:t xml:space="preserve">peran dalam pemberdayaan ekonomi masyarakat melalui penyaluran pembiayaan untuk mendukung usaha produktif, meningkatkan pendapatan, dan memperbaiki taraf hidup [2]. Keberlangsungan USP sangat dipengaruhi oleh tingkat kepercayaan masyarakat karena </w:t>
      </w:r>
      <w:proofErr w:type="gramStart"/>
      <w:r>
        <w:t>dana</w:t>
      </w:r>
      <w:proofErr w:type="gramEnd"/>
      <w:r>
        <w:t xml:space="preserve"> yang</w:t>
      </w:r>
      <w:r>
        <w:t xml:space="preserve"> dikelola sebagian besar berasal dari masyarakat [3]. Oleh karena itu, pengelolaan keuangan yang transparan dan akuntabel menjadi aspek penting dalam menjaga kepercayaan tersebut. Salah satu bentuk transparansi dan akuntabilitas diwujudkan melalui penyusun</w:t>
      </w:r>
      <w:r>
        <w:t>an laporan keuangan sebagai media penyampaian informasi mengenai posisi keuangan dan kinerja lembaga kepada masyarakat, pemerintah desa, serta pihak berkepentingan.</w:t>
      </w:r>
    </w:p>
    <w:p w:rsidR="000E2538" w:rsidRDefault="000A31F8">
      <w:pPr>
        <w:spacing w:after="100"/>
        <w:ind w:firstLine="431"/>
        <w:jc w:val="both"/>
      </w:pPr>
      <w:r>
        <w:lastRenderedPageBreak/>
        <w:t>Namun, keberadaan laporan keuangan belum sepenuhnya menjamin transparansi apabila tidak did</w:t>
      </w:r>
      <w:r>
        <w:t>ukung oleh kualitas pengungkapan (disclosure quality) yang memadai. Kualitas pengungkapan menunjukkan sejauh mana informasi dalam laporan keuangan disajikan secara lengkap, jelas, relevan, dan dapat dipahami oleh pengguna. Pengungkapan yang berkualitas dap</w:t>
      </w:r>
      <w:r>
        <w:t>at mengurangi asimetri informasi serta membantu pengguna dalam memahami kondisi lembaga dan mengambil keputusan secara tepat. Sebaliknya, pengungkapan yang tidak memadai dapat menimbulkan ketidakjelasan informasi dan menurunkan kepercayaan masyarakat.</w:t>
      </w:r>
    </w:p>
    <w:p w:rsidR="000E2538" w:rsidRDefault="000A31F8">
      <w:pPr>
        <w:spacing w:after="100"/>
        <w:ind w:firstLine="431"/>
        <w:jc w:val="both"/>
      </w:pPr>
      <w:r>
        <w:t>Dala</w:t>
      </w:r>
      <w:r>
        <w:t>m masyarakat yang mayoritas beragama Islam, pengelolaan keuangan juga perlu memperhatikan prinsip-prinsip syariah. Akuntansi syariah tidak hanya menekankan aspek teknis pelaporan, tetapi juga mengintegrasikan nilai kejujuran (shiddiq), keadilan (’adl), tra</w:t>
      </w:r>
      <w:r>
        <w:t>nsparansi (tabligh), dan amanah. Dengan demikian, laporan keuangan tidak hanya menjadi sarana pertanggungjawaban kepada pemangku kepentingan, tetapi juga merupakan bentuk pertanggungjawaban kepada Allah SWT. Prinsip tersebut sejalan dengan QS. An-Nisa ayat</w:t>
      </w:r>
      <w:r>
        <w:t xml:space="preserve"> 58 yang menegaskan kewajiban menyampaikan amanah kepada yang berhak serta menetapkan keputusan secara adil. Oleh karena itu, kualitas pengungkapan laporan keuangan perlu mencerminkan informasi yang benar, transparan, tidak menyesatkan, serta dapat diperta</w:t>
      </w:r>
      <w:r>
        <w:t>nggungjawabkan sesuai dengan prinsip syariah [4].</w:t>
      </w:r>
    </w:p>
    <w:p w:rsidR="000E2538" w:rsidRDefault="000A31F8">
      <w:pPr>
        <w:spacing w:after="100"/>
        <w:ind w:firstLine="431"/>
        <w:jc w:val="both"/>
      </w:pPr>
      <w:r>
        <w:t xml:space="preserve">Unit Usaha Simpan Pinjam (USP) Desa Jangkang merupakan salah satu lembaga ekonomi desa yang memiliki peran dalam mengelola dan menyalurkan </w:t>
      </w:r>
      <w:proofErr w:type="gramStart"/>
      <w:r>
        <w:t>dana</w:t>
      </w:r>
      <w:proofErr w:type="gramEnd"/>
      <w:r>
        <w:t xml:space="preserve"> masyarakat. Namun, sejauh mana kualitas pengungkapan laporan keuangan USP Desa Jangkang telah memenuhi prinsip t</w:t>
      </w:r>
      <w:r>
        <w:t>ransparansi dan akuntabilitas serta kesesuaiannya dengan prinsip akuntansi syariah masih perlu dikaji. Penelitian terdahulu lebih banyak membahas transparansi dan akuntabilitas secara umum, sementara kajian mengenai kualitas pengungkapan laporan keuangan d</w:t>
      </w:r>
      <w:r>
        <w:t>alam perspektif akuntansi syariah, khususnya pada lembaga keuangan desa seperti USP, masih terbatas. Kondisi tersebut menunjukkan adanya research gap yang perlu dikaji lebih lanjut.</w:t>
      </w:r>
    </w:p>
    <w:p w:rsidR="000E2538" w:rsidRDefault="000A31F8">
      <w:pPr>
        <w:spacing w:after="100"/>
        <w:ind w:firstLine="431"/>
        <w:jc w:val="both"/>
      </w:pPr>
      <w:r>
        <w:t xml:space="preserve">Berdasarkan kondisi tersebut, penelitian ini bertujuan untuk menganalisis </w:t>
      </w:r>
      <w:r>
        <w:t>kualitas pengungkapan (disclosure quality) pada laporan keuangan Unit Usaha Simpan Pinjam (USP) Desa Jangkang ditinjau dari perspektif akuntansi syariah. Penelitian ini diharapkan dapat memberikan kontribusi dalam meningkatkan transparansi dan akuntabilita</w:t>
      </w:r>
      <w:r>
        <w:t>s pengelolaan keuangan serta mendorong penerapan pelaporan keuangan yang sesuai dengan prinsip-prinsip syariah di tingkat desa.</w:t>
      </w:r>
    </w:p>
    <w:p w:rsidR="000E2538" w:rsidRDefault="001E4013" w:rsidP="001E4013">
      <w:pPr>
        <w:spacing w:before="200" w:after="100"/>
      </w:pPr>
      <w:r>
        <w:rPr>
          <w:b/>
          <w:bCs/>
          <w:color w:val="000000"/>
        </w:rPr>
        <w:t>2. METODELOGI</w:t>
      </w:r>
    </w:p>
    <w:p w:rsidR="000E2538" w:rsidRDefault="000A31F8">
      <w:pPr>
        <w:spacing w:after="100"/>
        <w:ind w:firstLine="431"/>
        <w:jc w:val="both"/>
      </w:pPr>
      <w:r>
        <w:t>Penelitian ini menggunakan metode deskriptif kualitatif yang bertujuan menggambarkan secara sistematis dan fak</w:t>
      </w:r>
      <w:r>
        <w:t>tual kualitas pengungkapan (disclosure quality) laporan keuangan pada Unit Usaha Simpan Pinjam (USP) Desa Jangkang berdasarkan kondisi yang ditemukan di lapangan, dengan data berupa uraian deskriptif dan bukan analisis statistik [5].</w:t>
      </w:r>
    </w:p>
    <w:p w:rsidR="000E2538" w:rsidRDefault="000A31F8">
      <w:pPr>
        <w:spacing w:after="100"/>
        <w:ind w:firstLine="431"/>
        <w:jc w:val="both"/>
      </w:pPr>
      <w:r>
        <w:t>Data penelitian terdir</w:t>
      </w:r>
      <w:r>
        <w:t>i atas data primer dan sekunder. Data primer diperoleh melalui wawancara dengan pengelola USP Desa Jangkang, pemerintah desa, pengawas, dan nasabah [6], [7]. Data sekunder berupa laporan keuangan, dokumen lembaga, serta literatur dan standar akuntansi yang</w:t>
      </w:r>
      <w:r>
        <w:t xml:space="preserve"> relevan. Teknik pengumpulan data meliputi wawancara, dokumentasi, observasi, dan studi pustaka untuk memperoleh informasi mengenai kualitas pengungkapan laporan keuangan serta kesesuaiannya dengan prinsip akuntansi syariah [8].</w:t>
      </w: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432CDD" w:rsidRDefault="00432CDD">
      <w:pPr>
        <w:spacing w:before="200" w:after="100"/>
        <w:rPr>
          <w:b/>
          <w:bCs/>
          <w:color w:val="000000"/>
        </w:rPr>
      </w:pPr>
    </w:p>
    <w:p w:rsidR="000E2538" w:rsidRDefault="00432CDD">
      <w:pPr>
        <w:spacing w:before="200" w:after="100"/>
      </w:pPr>
      <w:r>
        <w:rPr>
          <w:b/>
          <w:bCs/>
          <w:color w:val="000000"/>
        </w:rPr>
        <w:lastRenderedPageBreak/>
        <w:t xml:space="preserve">3. HASIL DAN PEMBAHASAN </w:t>
      </w:r>
    </w:p>
    <w:p w:rsidR="000E2538" w:rsidRDefault="000A31F8">
      <w:pPr>
        <w:spacing w:before="100" w:after="80"/>
        <w:jc w:val="center"/>
      </w:pPr>
      <w:r>
        <w:rPr>
          <w:noProof/>
        </w:rPr>
        <w:drawing>
          <wp:inline distT="0" distB="0" distL="0" distR="0">
            <wp:extent cx="3619500" cy="277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2771775"/>
                    </a:xfrm>
                    <a:prstGeom prst="rect">
                      <a:avLst/>
                    </a:prstGeom>
                  </pic:spPr>
                </pic:pic>
              </a:graphicData>
            </a:graphic>
          </wp:inline>
        </w:drawing>
      </w:r>
    </w:p>
    <w:p w:rsidR="000E2538" w:rsidRDefault="000A31F8">
      <w:pPr>
        <w:spacing w:before="100" w:after="80"/>
        <w:jc w:val="center"/>
      </w:pPr>
      <w:r>
        <w:rPr>
          <w:b/>
          <w:bCs/>
        </w:rPr>
        <w:t>Gambar 1. Struktur Organisasi Unit Usaha Simpan Pinjam (USP) Desa Jangkang</w:t>
      </w:r>
    </w:p>
    <w:p w:rsidR="000E2538" w:rsidRDefault="000A31F8">
      <w:pPr>
        <w:spacing w:after="100"/>
        <w:ind w:firstLine="431"/>
        <w:jc w:val="both"/>
      </w:pPr>
      <w:r>
        <w:t>Struktur organisasi USP Desa Jangkang terdiri atas Kepala Desa sebagai pembina, pengawas, direktur, sekretaris, bendahara, serta petugas administrasi dan pelayanan [6]. Setia</w:t>
      </w:r>
      <w:r>
        <w:t>p unsur memiliki tugas dan tanggung jawab masing-masing dalam mendukung pengawasan, pengelolaan keuangan, administrasi, dan pelayanan, serta bekerja secara terkoordinasi untuk menunjang operasional USP.</w:t>
      </w:r>
    </w:p>
    <w:p w:rsidR="000E2538" w:rsidRDefault="000A31F8">
      <w:pPr>
        <w:spacing w:before="150" w:after="100"/>
      </w:pPr>
      <w:r>
        <w:rPr>
          <w:b/>
          <w:bCs/>
          <w:color w:val="000000"/>
        </w:rPr>
        <w:t>3.1. Kualitas Pengungkapan (Disclosure Quality) Lapor</w:t>
      </w:r>
      <w:r>
        <w:rPr>
          <w:b/>
          <w:bCs/>
          <w:color w:val="000000"/>
        </w:rPr>
        <w:t>an Keuangan USP Desa Jangkang</w:t>
      </w:r>
    </w:p>
    <w:p w:rsidR="000E2538" w:rsidRDefault="000A31F8">
      <w:pPr>
        <w:spacing w:before="150" w:after="80"/>
        <w:jc w:val="center"/>
      </w:pPr>
      <w:r>
        <w:rPr>
          <w:b/>
          <w:bCs/>
        </w:rPr>
        <w:t>Tabel 1. Neraca USP Desa Jangkang Periode Januari 2026</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560"/>
        <w:gridCol w:w="2300"/>
        <w:gridCol w:w="2300"/>
      </w:tblGrid>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shd w:val="clear" w:color="auto" w:fill="D9D9D9"/>
          </w:tcPr>
          <w:p w:rsidR="000E2538" w:rsidRDefault="000A31F8">
            <w:pPr>
              <w:jc w:val="center"/>
            </w:pPr>
            <w:r>
              <w:rPr>
                <w:b/>
                <w:bCs/>
                <w:sz w:val="16"/>
                <w:szCs w:val="16"/>
              </w:rPr>
              <w:t>No</w:t>
            </w:r>
          </w:p>
        </w:tc>
        <w:tc>
          <w:tcPr>
            <w:tcW w:w="3560" w:type="dxa"/>
            <w:tcBorders>
              <w:top w:val="single" w:sz="4" w:space="0" w:color="000000"/>
              <w:left w:val="none" w:sz="0" w:space="0" w:color="FFFFFF"/>
              <w:bottom w:val="single" w:sz="4" w:space="0" w:color="000000"/>
              <w:right w:val="none" w:sz="0" w:space="0" w:color="FFFFFF"/>
            </w:tcBorders>
            <w:shd w:val="clear" w:color="auto" w:fill="D9D9D9"/>
          </w:tcPr>
          <w:p w:rsidR="000E2538" w:rsidRDefault="000A31F8">
            <w:r>
              <w:rPr>
                <w:b/>
                <w:bCs/>
                <w:sz w:val="16"/>
                <w:szCs w:val="16"/>
              </w:rPr>
              <w:t>Akun</w:t>
            </w:r>
          </w:p>
        </w:tc>
        <w:tc>
          <w:tcPr>
            <w:tcW w:w="2300" w:type="dxa"/>
            <w:tcBorders>
              <w:top w:val="single" w:sz="4" w:space="0" w:color="000000"/>
              <w:left w:val="none" w:sz="0" w:space="0" w:color="FFFFFF"/>
              <w:bottom w:val="single" w:sz="4" w:space="0" w:color="000000"/>
              <w:right w:val="none" w:sz="0" w:space="0" w:color="FFFFFF"/>
            </w:tcBorders>
            <w:shd w:val="clear" w:color="auto" w:fill="D9D9D9"/>
          </w:tcPr>
          <w:p w:rsidR="000E2538" w:rsidRDefault="000A31F8">
            <w:pPr>
              <w:jc w:val="center"/>
            </w:pPr>
            <w:r>
              <w:rPr>
                <w:b/>
                <w:bCs/>
                <w:sz w:val="16"/>
                <w:szCs w:val="16"/>
              </w:rPr>
              <w:t>USP (Rp)</w:t>
            </w:r>
          </w:p>
        </w:tc>
        <w:tc>
          <w:tcPr>
            <w:tcW w:w="2300" w:type="dxa"/>
            <w:tcBorders>
              <w:top w:val="single" w:sz="4" w:space="0" w:color="000000"/>
              <w:left w:val="none" w:sz="0" w:space="0" w:color="FFFFFF"/>
              <w:bottom w:val="single" w:sz="4" w:space="0" w:color="000000"/>
              <w:right w:val="none" w:sz="0" w:space="0" w:color="FFFFFF"/>
            </w:tcBorders>
            <w:shd w:val="clear" w:color="auto" w:fill="D9D9D9"/>
          </w:tcPr>
          <w:p w:rsidR="000E2538" w:rsidRDefault="000A31F8">
            <w:pPr>
              <w:jc w:val="center"/>
            </w:pPr>
            <w:r>
              <w:rPr>
                <w:b/>
                <w:bCs/>
                <w:sz w:val="16"/>
                <w:szCs w:val="16"/>
              </w:rPr>
              <w:t>SP (Rp)</w:t>
            </w:r>
          </w:p>
        </w:tc>
      </w:tr>
      <w:tr w:rsidR="000E2538">
        <w:tblPrEx>
          <w:tblCellMar>
            <w:top w:w="0" w:type="dxa"/>
            <w:bottom w:w="0" w:type="dxa"/>
          </w:tblCellMar>
        </w:tblPrEx>
        <w:tc>
          <w:tcPr>
            <w:tcW w:w="4760" w:type="dxa"/>
            <w:gridSpan w:val="2"/>
            <w:tcBorders>
              <w:top w:val="single" w:sz="4" w:space="0" w:color="000000"/>
              <w:left w:val="none" w:sz="0" w:space="0" w:color="FFFFFF"/>
              <w:bottom w:val="single" w:sz="4" w:space="0" w:color="000000"/>
              <w:right w:val="none" w:sz="0" w:space="0" w:color="FFFFFF"/>
            </w:tcBorders>
          </w:tcPr>
          <w:p w:rsidR="000E2538" w:rsidRDefault="000A31F8">
            <w:r>
              <w:rPr>
                <w:b/>
                <w:bCs/>
                <w:sz w:val="16"/>
                <w:szCs w:val="16"/>
              </w:rPr>
              <w:t>AKTIVA</w:t>
            </w:r>
          </w:p>
        </w:tc>
        <w:tc>
          <w:tcPr>
            <w:tcW w:w="2300" w:type="dxa"/>
            <w:tcBorders>
              <w:top w:val="single" w:sz="4" w:space="0" w:color="000000"/>
              <w:left w:val="none" w:sz="0" w:space="0" w:color="FFFFFF"/>
              <w:bottom w:val="single" w:sz="4" w:space="0" w:color="000000"/>
              <w:right w:val="none" w:sz="0" w:space="0" w:color="FFFFFF"/>
            </w:tcBorders>
          </w:tcPr>
          <w:p w:rsidR="000E2538" w:rsidRDefault="000E2538">
            <w:pPr>
              <w:jc w:val="center"/>
            </w:pPr>
          </w:p>
        </w:tc>
        <w:tc>
          <w:tcPr>
            <w:tcW w:w="2300" w:type="dxa"/>
            <w:tcBorders>
              <w:top w:val="single" w:sz="4" w:space="0" w:color="000000"/>
              <w:left w:val="none" w:sz="0" w:space="0" w:color="FFFFFF"/>
              <w:bottom w:val="single" w:sz="4" w:space="0" w:color="000000"/>
              <w:right w:val="none" w:sz="0" w:space="0" w:color="FFFFFF"/>
            </w:tcBorders>
          </w:tcPr>
          <w:p w:rsidR="000E2538" w:rsidRDefault="000E2538">
            <w:pPr>
              <w:jc w:val="center"/>
            </w:pP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11</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Kas</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26.063.000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123.139.000</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12</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Bank</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104.373.967</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542.557.356</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13</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Piutang</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6.019.233.000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14</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Cad. Penghapusan Piutang</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15</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Sewa Dibayar Dimuka</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16</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Amortisasi</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17</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Inventaris</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112.744.000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18</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Ak. Penyusutan</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(26.135.000)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E2538">
            <w:pPr>
              <w:jc w:val="center"/>
            </w:pP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b/>
                <w:bCs/>
                <w:sz w:val="16"/>
                <w:szCs w:val="16"/>
              </w:rPr>
              <w:t>Jumlah Aktiva</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b/>
                <w:bCs/>
                <w:sz w:val="16"/>
                <w:szCs w:val="16"/>
              </w:rPr>
              <w:t>6.236.278.967</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b/>
                <w:bCs/>
                <w:sz w:val="16"/>
                <w:szCs w:val="16"/>
              </w:rPr>
              <w:t>665.696.356</w:t>
            </w:r>
          </w:p>
        </w:tc>
      </w:tr>
      <w:tr w:rsidR="000E2538">
        <w:tblPrEx>
          <w:tblCellMar>
            <w:top w:w="0" w:type="dxa"/>
            <w:bottom w:w="0" w:type="dxa"/>
          </w:tblCellMar>
        </w:tblPrEx>
        <w:tc>
          <w:tcPr>
            <w:tcW w:w="4760" w:type="dxa"/>
            <w:gridSpan w:val="2"/>
            <w:tcBorders>
              <w:top w:val="single" w:sz="4" w:space="0" w:color="000000"/>
              <w:left w:val="none" w:sz="0" w:space="0" w:color="FFFFFF"/>
              <w:bottom w:val="single" w:sz="4" w:space="0" w:color="000000"/>
              <w:right w:val="none" w:sz="0" w:space="0" w:color="FFFFFF"/>
            </w:tcBorders>
          </w:tcPr>
          <w:p w:rsidR="000E2538" w:rsidRDefault="000A31F8">
            <w:r>
              <w:rPr>
                <w:b/>
                <w:bCs/>
                <w:sz w:val="16"/>
                <w:szCs w:val="16"/>
              </w:rPr>
              <w:t>PASSIVA</w:t>
            </w:r>
          </w:p>
        </w:tc>
        <w:tc>
          <w:tcPr>
            <w:tcW w:w="2300" w:type="dxa"/>
            <w:tcBorders>
              <w:top w:val="single" w:sz="4" w:space="0" w:color="000000"/>
              <w:left w:val="none" w:sz="0" w:space="0" w:color="FFFFFF"/>
              <w:bottom w:val="single" w:sz="4" w:space="0" w:color="000000"/>
              <w:right w:val="none" w:sz="0" w:space="0" w:color="FFFFFF"/>
            </w:tcBorders>
          </w:tcPr>
          <w:p w:rsidR="000E2538" w:rsidRDefault="000E2538">
            <w:pPr>
              <w:jc w:val="center"/>
            </w:pPr>
          </w:p>
        </w:tc>
        <w:tc>
          <w:tcPr>
            <w:tcW w:w="2300" w:type="dxa"/>
            <w:tcBorders>
              <w:top w:val="single" w:sz="4" w:space="0" w:color="000000"/>
              <w:left w:val="none" w:sz="0" w:space="0" w:color="FFFFFF"/>
              <w:bottom w:val="single" w:sz="4" w:space="0" w:color="000000"/>
              <w:right w:val="none" w:sz="0" w:space="0" w:color="FFFFFF"/>
            </w:tcBorders>
          </w:tcPr>
          <w:p w:rsidR="000E2538" w:rsidRDefault="000E2538">
            <w:pPr>
              <w:jc w:val="center"/>
            </w:pP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21</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Hutang Pihak Lain</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22</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Hutang DUD/K</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23</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Titipan Gebyar</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24</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Titipan</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25</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Laba Anggota YBD</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26</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Tab. Tanggung Renteng</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27</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SHU</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21</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Simpanan Pokok</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20.800.000</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22</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Simpanan Wajib</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23</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Simpanan Sukarela</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613.588.661</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31</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Modal USP</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6.028.900.244</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2.000.000</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32</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Bantuan/Akuisisi</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28.867.532</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33</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Asuransi</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0</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34</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Modal dari Laba</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207.261.321</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35</w:t>
            </w: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Akum. Laba s.d. Bulan Berjalan</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117.402</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440.163</w:t>
            </w:r>
          </w:p>
        </w:tc>
      </w:tr>
      <w:tr w:rsidR="000E2538">
        <w:tblPrEx>
          <w:tblCellMar>
            <w:top w:w="0" w:type="dxa"/>
            <w:bottom w:w="0" w:type="dxa"/>
          </w:tblCellMar>
        </w:tblPrEx>
        <w:tc>
          <w:tcPr>
            <w:tcW w:w="1200" w:type="dxa"/>
            <w:tcBorders>
              <w:top w:val="single" w:sz="4" w:space="0" w:color="000000"/>
              <w:left w:val="none" w:sz="0" w:space="0" w:color="FFFFFF"/>
              <w:bottom w:val="single" w:sz="4" w:space="0" w:color="000000"/>
              <w:right w:val="none" w:sz="0" w:space="0" w:color="FFFFFF"/>
            </w:tcBorders>
          </w:tcPr>
          <w:p w:rsidR="000E2538" w:rsidRDefault="000E2538">
            <w:pPr>
              <w:jc w:val="center"/>
            </w:pPr>
          </w:p>
        </w:tc>
        <w:tc>
          <w:tcPr>
            <w:tcW w:w="3560" w:type="dxa"/>
            <w:tcBorders>
              <w:top w:val="single" w:sz="4" w:space="0" w:color="000000"/>
              <w:left w:val="none" w:sz="0" w:space="0" w:color="FFFFFF"/>
              <w:bottom w:val="single" w:sz="4" w:space="0" w:color="000000"/>
              <w:right w:val="none" w:sz="0" w:space="0" w:color="FFFFFF"/>
            </w:tcBorders>
          </w:tcPr>
          <w:p w:rsidR="000E2538" w:rsidRDefault="000A31F8">
            <w:r>
              <w:rPr>
                <w:b/>
                <w:bCs/>
                <w:sz w:val="16"/>
                <w:szCs w:val="16"/>
              </w:rPr>
              <w:t>Jumlah Passiva</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b/>
                <w:bCs/>
                <w:sz w:val="16"/>
                <w:szCs w:val="16"/>
              </w:rPr>
              <w:t>6.236.278.967</w:t>
            </w:r>
          </w:p>
        </w:tc>
        <w:tc>
          <w:tcPr>
            <w:tcW w:w="230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b/>
                <w:bCs/>
                <w:sz w:val="16"/>
                <w:szCs w:val="16"/>
              </w:rPr>
              <w:t>665.696.356</w:t>
            </w:r>
          </w:p>
        </w:tc>
      </w:tr>
    </w:tbl>
    <w:p w:rsidR="000E2538" w:rsidRDefault="000A31F8">
      <w:pPr>
        <w:spacing w:after="150"/>
      </w:pPr>
      <w:r>
        <w:rPr>
          <w:i/>
          <w:iCs/>
        </w:rPr>
        <w:t>Sumber: Neraca USP Desa Jangkang, Januari 2026</w:t>
      </w:r>
    </w:p>
    <w:p w:rsidR="000E2538" w:rsidRDefault="000A31F8">
      <w:pPr>
        <w:spacing w:after="100"/>
        <w:ind w:firstLine="431"/>
        <w:jc w:val="both"/>
      </w:pPr>
      <w:r>
        <w:t>Berdasarkan hasil analisis laporan keuangan USP Desa Jangkang periode Januari 2026, kualitas pengungkapan dapat dinilai dari aspek teknis formal dan substantif. Secara teknis, USP Desa Jangkang telah menjalankan pencatatan akuntansi dengan cukup baik, dita</w:t>
      </w:r>
      <w:r>
        <w:t xml:space="preserve">ndai dengan tersedianya neraca, laporan laba rugi, neraca percobaan, jurnal memorial, serta dokumen pendukung lainnya. Keseimbangan neraca percobaan juga menunjukkan penerapan metode </w:t>
      </w:r>
      <w:r>
        <w:lastRenderedPageBreak/>
        <w:t>double entry bookkeeping secara sistematis. Namun, kelengkapan teknis ter</w:t>
      </w:r>
      <w:r>
        <w:t>sebut belum diikuti dengan kualitas pengungkapan yang memadai secara substantif.</w:t>
      </w:r>
    </w:p>
    <w:p w:rsidR="000E2538" w:rsidRDefault="000A31F8">
      <w:pPr>
        <w:spacing w:after="100"/>
        <w:ind w:firstLine="431"/>
        <w:jc w:val="both"/>
      </w:pPr>
      <w:r>
        <w:t>Kelemahan utama terletak pada tidak tersedianya Catatan atas Laporan Keuangan (CALK) dan tidak adanya pengungkapan kebijakan akuntansi secara formal. Kondisi ini menyebabkan p</w:t>
      </w:r>
      <w:r>
        <w:t>engguna laporan kesulitan memahami dasar penyusunan laporan, pengakuan pendapatan, penyusutan aset, serta pembentukan cadangan penghapusan piutang. Hal tersebut terlihat dari piutang sebesar Rp6.019.233.000 atau sekitar 96</w:t>
      </w:r>
      <w:proofErr w:type="gramStart"/>
      <w:r>
        <w:t>,5</w:t>
      </w:r>
      <w:proofErr w:type="gramEnd"/>
      <w:r>
        <w:t>% dari total aktiva sebesar Rp6.</w:t>
      </w:r>
      <w:r>
        <w:t>236.278.967 yang tidak disertai penjelasan mengenai komposisi, kualitas, dan risikonya.</w:t>
      </w:r>
    </w:p>
    <w:p w:rsidR="000E2538" w:rsidRDefault="000A31F8">
      <w:pPr>
        <w:spacing w:before="150" w:after="80"/>
        <w:jc w:val="center"/>
      </w:pPr>
      <w:r>
        <w:rPr>
          <w:b/>
          <w:bCs/>
        </w:rPr>
        <w:t>Tabel 2. Data Statistik Tunggakan Pinjaman USP Desa Jangkang</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0"/>
        <w:gridCol w:w="2270"/>
        <w:gridCol w:w="2270"/>
        <w:gridCol w:w="2260"/>
      </w:tblGrid>
      <w:tr w:rsidR="000E253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shd w:val="clear" w:color="auto" w:fill="D9D9D9"/>
          </w:tcPr>
          <w:p w:rsidR="000E2538" w:rsidRDefault="000A31F8">
            <w:r>
              <w:rPr>
                <w:b/>
                <w:bCs/>
                <w:sz w:val="16"/>
                <w:szCs w:val="16"/>
              </w:rPr>
              <w:t>Tenor Tunggakan</w:t>
            </w:r>
          </w:p>
        </w:tc>
        <w:tc>
          <w:tcPr>
            <w:tcW w:w="2270" w:type="dxa"/>
            <w:tcBorders>
              <w:top w:val="single" w:sz="4" w:space="0" w:color="000000"/>
              <w:left w:val="none" w:sz="0" w:space="0" w:color="FFFFFF"/>
              <w:bottom w:val="single" w:sz="4" w:space="0" w:color="000000"/>
              <w:right w:val="none" w:sz="0" w:space="0" w:color="FFFFFF"/>
            </w:tcBorders>
            <w:shd w:val="clear" w:color="auto" w:fill="D9D9D9"/>
          </w:tcPr>
          <w:p w:rsidR="000E2538" w:rsidRDefault="000A31F8">
            <w:pPr>
              <w:jc w:val="center"/>
            </w:pPr>
            <w:r>
              <w:rPr>
                <w:b/>
                <w:bCs/>
                <w:sz w:val="16"/>
                <w:szCs w:val="16"/>
              </w:rPr>
              <w:t>Jumlah s/d Bulan Lalu</w:t>
            </w:r>
          </w:p>
        </w:tc>
        <w:tc>
          <w:tcPr>
            <w:tcW w:w="2270" w:type="dxa"/>
            <w:tcBorders>
              <w:top w:val="single" w:sz="4" w:space="0" w:color="000000"/>
              <w:left w:val="none" w:sz="0" w:space="0" w:color="FFFFFF"/>
              <w:bottom w:val="single" w:sz="4" w:space="0" w:color="000000"/>
              <w:right w:val="none" w:sz="0" w:space="0" w:color="FFFFFF"/>
            </w:tcBorders>
            <w:shd w:val="clear" w:color="auto" w:fill="D9D9D9"/>
          </w:tcPr>
          <w:p w:rsidR="000E2538" w:rsidRDefault="000A31F8">
            <w:pPr>
              <w:jc w:val="center"/>
            </w:pPr>
            <w:r>
              <w:rPr>
                <w:b/>
                <w:bCs/>
                <w:sz w:val="16"/>
                <w:szCs w:val="16"/>
              </w:rPr>
              <w:t>Bulan Ini</w:t>
            </w:r>
          </w:p>
        </w:tc>
        <w:tc>
          <w:tcPr>
            <w:tcW w:w="2260" w:type="dxa"/>
            <w:tcBorders>
              <w:top w:val="single" w:sz="4" w:space="0" w:color="000000"/>
              <w:left w:val="none" w:sz="0" w:space="0" w:color="FFFFFF"/>
              <w:bottom w:val="single" w:sz="4" w:space="0" w:color="000000"/>
              <w:right w:val="none" w:sz="0" w:space="0" w:color="FFFFFF"/>
            </w:tcBorders>
            <w:shd w:val="clear" w:color="auto" w:fill="D9D9D9"/>
          </w:tcPr>
          <w:p w:rsidR="000E2538" w:rsidRDefault="000A31F8">
            <w:pPr>
              <w:jc w:val="center"/>
            </w:pPr>
            <w:r>
              <w:rPr>
                <w:b/>
                <w:bCs/>
                <w:sz w:val="16"/>
                <w:szCs w:val="16"/>
              </w:rPr>
              <w:t>Jumlah s/d Bulan Ini</w:t>
            </w:r>
          </w:p>
        </w:tc>
      </w:tr>
      <w:tr w:rsidR="000E253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1–2 bulan</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6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3–4 bulan</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6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5–6 bulan</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6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tcPr>
          <w:p w:rsidR="000E2538" w:rsidRDefault="000A31F8">
            <w:r>
              <w:rPr>
                <w:sz w:val="16"/>
                <w:szCs w:val="16"/>
              </w:rPr>
              <w:t>&gt; 6 bulan</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6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r>
      <w:tr w:rsidR="000E253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tcPr>
          <w:p w:rsidR="000E2538" w:rsidRDefault="000A31F8">
            <w:r>
              <w:rPr>
                <w:b/>
                <w:bCs/>
                <w:sz w:val="16"/>
                <w:szCs w:val="16"/>
              </w:rPr>
              <w:t>Total Tunggakan UED</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b/>
                <w:bCs/>
                <w:sz w:val="16"/>
                <w:szCs w:val="16"/>
              </w:rPr>
              <w:t>Rp565.686.000</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6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b/>
                <w:bCs/>
                <w:sz w:val="16"/>
                <w:szCs w:val="16"/>
              </w:rPr>
              <w:t>Rp472.196.000</w:t>
            </w:r>
          </w:p>
        </w:tc>
      </w:tr>
      <w:tr w:rsidR="000E253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tcPr>
          <w:p w:rsidR="000E2538" w:rsidRDefault="000A31F8">
            <w:r>
              <w:rPr>
                <w:b/>
                <w:bCs/>
                <w:sz w:val="16"/>
                <w:szCs w:val="16"/>
              </w:rPr>
              <w:t>Total Tunggakan SP</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b/>
                <w:bCs/>
                <w:sz w:val="16"/>
                <w:szCs w:val="16"/>
              </w:rPr>
              <w:t>Rp251.871.000</w:t>
            </w:r>
          </w:p>
        </w:tc>
        <w:tc>
          <w:tcPr>
            <w:tcW w:w="227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sz w:val="16"/>
                <w:szCs w:val="16"/>
              </w:rPr>
              <w:t>–</w:t>
            </w:r>
          </w:p>
        </w:tc>
        <w:tc>
          <w:tcPr>
            <w:tcW w:w="2260" w:type="dxa"/>
            <w:tcBorders>
              <w:top w:val="single" w:sz="4" w:space="0" w:color="000000"/>
              <w:left w:val="none" w:sz="0" w:space="0" w:color="FFFFFF"/>
              <w:bottom w:val="single" w:sz="4" w:space="0" w:color="000000"/>
              <w:right w:val="none" w:sz="0" w:space="0" w:color="FFFFFF"/>
            </w:tcBorders>
          </w:tcPr>
          <w:p w:rsidR="000E2538" w:rsidRDefault="000A31F8">
            <w:pPr>
              <w:jc w:val="center"/>
            </w:pPr>
            <w:r>
              <w:rPr>
                <w:b/>
                <w:bCs/>
                <w:sz w:val="16"/>
                <w:szCs w:val="16"/>
              </w:rPr>
              <w:t>Rp397.072.000</w:t>
            </w:r>
          </w:p>
        </w:tc>
      </w:tr>
    </w:tbl>
    <w:p w:rsidR="000E2538" w:rsidRDefault="000A31F8">
      <w:pPr>
        <w:spacing w:after="150"/>
      </w:pPr>
      <w:r>
        <w:rPr>
          <w:i/>
          <w:iCs/>
        </w:rPr>
        <w:t>Sumber: Data Statistik USP Desa Jangkang, Januari 2026</w:t>
      </w:r>
    </w:p>
    <w:p w:rsidR="000E2538" w:rsidRDefault="000A31F8">
      <w:pPr>
        <w:spacing w:after="100"/>
        <w:ind w:firstLine="431"/>
        <w:jc w:val="both"/>
      </w:pPr>
      <w:r>
        <w:t xml:space="preserve">Selain itu, terdapat ketidaksesuaian antara jumlah tunggakan pinjaman UED sebesar Rp472.196.000 dengan cadangan penghapusan piutang yang hanya Rp21.851 dalam laporan laba rugi dan Rp0 dalam neraca. Kondisi ini menunjukkan bahwa pengungkapan risiko piutang </w:t>
      </w:r>
      <w:r>
        <w:t>belum memadai. Penggunaan istilah “Bunga Bank” sebesar Rp109.253 tanpa penjelasan perlakuan akuntansinya juga menimbulkan ketidakjelasan, terutama dalam konteks akuntansi syariah.</w:t>
      </w:r>
    </w:p>
    <w:p w:rsidR="000E2538" w:rsidRDefault="000A31F8">
      <w:pPr>
        <w:spacing w:after="100"/>
        <w:ind w:firstLine="431"/>
        <w:jc w:val="both"/>
      </w:pPr>
      <w:r>
        <w:t xml:space="preserve">Informasi penting seperti jumlah anggota 1.889 orang, tingkat pengembalian pinjaman 94%, rincian tunggakan, serta informasi 25 aset tetap belum terintegrasi dalam laporan keuangan utama [7]. Dengan demikian, kualitas pengungkapan laporan keuangan USP Desa </w:t>
      </w:r>
      <w:r>
        <w:t>Jangkang periode Januari 2026 belum memadai secara substantif, meskipun secara teknis formal telah cukup baik. Kelemahan terutama terdapat pada aspek kelengkapan informasi, transparansi risiko, kejelasan terminologi, konsistensi substantif, dan pengungkapa</w:t>
      </w:r>
      <w:r>
        <w:t>n kebijakan akuntansi.</w:t>
      </w:r>
    </w:p>
    <w:p w:rsidR="000E2538" w:rsidRDefault="000A31F8">
      <w:pPr>
        <w:spacing w:after="100"/>
        <w:ind w:firstLine="431"/>
        <w:jc w:val="both"/>
      </w:pPr>
      <w:r>
        <w:t>Dalam perspektif akuntansi syariah, kondisi tersebut menunjukkan bahwa praktik pelaporan USP Desa Jangkang masih perlu ditingkatkan agar lebih mencerminkan nilai shiddiq, tabligh, ’adl, dan amanah sebagaimana prinsip pencatatan dan p</w:t>
      </w:r>
      <w:r>
        <w:t>ertanggungjawaban dalam QS. Al-Baqarah ayat 282, sehingga laporan keuangan tidak hanya berfungsi sebagai catatan administratif, tetapi juga mampu memberikan informasi yang jujur, transparan, jelas, dan dapat dipertanggungjawabkan.</w:t>
      </w:r>
    </w:p>
    <w:p w:rsidR="000E2538" w:rsidRDefault="000A31F8">
      <w:pPr>
        <w:spacing w:before="150" w:after="100"/>
      </w:pPr>
      <w:r>
        <w:rPr>
          <w:b/>
          <w:bCs/>
          <w:color w:val="000000"/>
        </w:rPr>
        <w:t>3.2. Kesesuaian Pengungka</w:t>
      </w:r>
      <w:r>
        <w:rPr>
          <w:b/>
          <w:bCs/>
          <w:color w:val="000000"/>
        </w:rPr>
        <w:t>pan Informasi Keuangan USP Desa Jangkang dengan Ketentuan Syariah</w:t>
      </w:r>
    </w:p>
    <w:p w:rsidR="000E2538" w:rsidRDefault="000A31F8">
      <w:pPr>
        <w:spacing w:after="100"/>
        <w:ind w:firstLine="431"/>
        <w:jc w:val="both"/>
      </w:pPr>
      <w:r>
        <w:t>USP Desa Jangkang secara kelembagaan bukan merupakan lembaga keuangan syariah formal dan masih menggunakan sistem akuntansi konvensional berdasarkan pedoman UED-SP. Meskipun demikian, perspe</w:t>
      </w:r>
      <w:r>
        <w:t>ktif akuntansi syariah tetap relevan digunakan sebagai kerangka evaluatif untuk menilai kualitas pengungkapan laporan keuangan berdasarkan nilai kejujuran (shiddiq), keadilan (’adl), transparansi (tabligh), dan amanah.</w:t>
      </w:r>
    </w:p>
    <w:p w:rsidR="000E2538" w:rsidRDefault="000A31F8">
      <w:pPr>
        <w:spacing w:after="100"/>
        <w:ind w:firstLine="431"/>
        <w:jc w:val="both"/>
      </w:pPr>
      <w:r>
        <w:t>Berdasarkan hasil penelitian, USP Des</w:t>
      </w:r>
      <w:r>
        <w:t xml:space="preserve">a Jangkang telah berupaya menerapkan prinsip syariah dalam kegiatan operasionalnya melalui penggunaan akad mudharabah, murabahah, dan wadiah, serta menghindari sistem bunga atau riba [7], [8]. Hal ini menunjukkan adanya komitmen pengelola terhadap prinsip </w:t>
      </w:r>
      <w:r>
        <w:t>keadilan dan pembagian keuntungan yang sesuai dengan kesepakatan. Namun, penerapan tersebut belum sepenuhnya tercermin dalam laporan keuangan karena belum terdapat pengungkapan tertulis mengenai jenis akad, dasar penentuan margin, maupun mekanisme bagi has</w:t>
      </w:r>
      <w:r>
        <w:t>il.</w:t>
      </w:r>
    </w:p>
    <w:p w:rsidR="000E2538" w:rsidRDefault="000A31F8">
      <w:pPr>
        <w:spacing w:after="100"/>
        <w:ind w:firstLine="431"/>
        <w:jc w:val="both"/>
      </w:pPr>
      <w:r>
        <w:t>Hasil analisis menunjukkan bahwa kualitas pengungkapan laporan keuangan USP Desa Jangkang belum sepenuhnya sesuai dengan prinsip akuntansi syariah. Hal ini terlihat dari adanya akun Bunga Bank yang dicatat sebagai pendapatan operasional, belum adanya p</w:t>
      </w:r>
      <w:r>
        <w:t>engungkapan mengenai akad pembiayaan dan mekanisme bagi hasil, serta belum memadainya informasi mengenai risiko dan pencadangan piutang. Kondisi tersebut menunjukkan masih adanya kelemahan dalam penerapan prinsip shiddiq, ’adl, dan kejelasan informasi dala</w:t>
      </w:r>
      <w:r>
        <w:t>m pelaporan keuangan.</w:t>
      </w:r>
    </w:p>
    <w:p w:rsidR="000E2538" w:rsidRDefault="000A31F8">
      <w:pPr>
        <w:spacing w:after="100"/>
        <w:ind w:firstLine="431"/>
        <w:jc w:val="both"/>
      </w:pPr>
      <w:r>
        <w:t>Di sisi lain, USP Desa Jangkang telah berupaya menerapkan prinsip transparansi dan amanah melalui penyampaian informasi keuangan kepada anggota dalam forum pertanggungjawaban. Namun, keterbukaan tersebut masih terbatas karena belum di</w:t>
      </w:r>
      <w:r>
        <w:t>dukung oleh pengungkapan tertulis yang lengkap dan akses informasi yang luas bagi pemangku kepentingan. Laporan keuangan juga belum mengungkapkan kebijakan akuntansi, akad, mekanisme bagi hasil, dan aspek kepatuhan syariah secara memadai.</w:t>
      </w:r>
    </w:p>
    <w:p w:rsidR="000E2538" w:rsidRDefault="000A31F8">
      <w:pPr>
        <w:spacing w:after="100"/>
        <w:ind w:firstLine="431"/>
        <w:jc w:val="both"/>
      </w:pPr>
      <w:r>
        <w:t xml:space="preserve">Dengan demikian, </w:t>
      </w:r>
      <w:r>
        <w:t>kualitas pengungkapan laporan keuangan USP Desa Jangkang dalam perspektif akuntansi syariah masih belum optimal. Perbaikan diperlukan melalui penyempurnaan pengungkapan informasi, termasuk akad pembiayaan, kebijakan akuntansi, perlakuan pendapatan bunga, p</w:t>
      </w:r>
      <w:r>
        <w:t xml:space="preserve">encadangan piutang, mekanisme bagi hasil, serta </w:t>
      </w:r>
      <w:r>
        <w:lastRenderedPageBreak/>
        <w:t>peningkatan kapasitas sumber daya manusia dan pengawasan syariah. Upaya tersebut diharapkan dapat meningkatkan transparansi, akuntabilitas, kepercayaan masyarakat, dan kesesuaian pengelolaan keuangan dengan n</w:t>
      </w:r>
      <w:r>
        <w:t>ilai-nilai syariah.</w:t>
      </w:r>
    </w:p>
    <w:p w:rsidR="000E2538" w:rsidRDefault="000A31F8" w:rsidP="002F49BB">
      <w:pPr>
        <w:spacing w:before="200" w:after="100"/>
      </w:pPr>
      <w:r>
        <w:rPr>
          <w:b/>
          <w:bCs/>
          <w:color w:val="000000"/>
        </w:rPr>
        <w:t xml:space="preserve">4. </w:t>
      </w:r>
      <w:r w:rsidR="002F49BB">
        <w:rPr>
          <w:b/>
          <w:bCs/>
          <w:color w:val="000000"/>
        </w:rPr>
        <w:t>KE</w:t>
      </w:r>
      <w:r>
        <w:rPr>
          <w:b/>
          <w:bCs/>
          <w:color w:val="000000"/>
        </w:rPr>
        <w:t xml:space="preserve">SIMPULAN </w:t>
      </w:r>
    </w:p>
    <w:p w:rsidR="000E2538" w:rsidRDefault="000A31F8">
      <w:pPr>
        <w:spacing w:after="100"/>
        <w:ind w:firstLine="431"/>
        <w:jc w:val="both"/>
      </w:pPr>
      <w:r>
        <w:t>Berdasarkan hasil penelitian dan pembahasan, dapat disimpulkan bahwa kualitas pengungkapan laporan keuangan USP Desa Jangkang tergolong cukup baik karena telah menyajikan laporan utama seperti neraca, laporan laba ru</w:t>
      </w:r>
      <w:r>
        <w:t>gi, neraca percobaan, dan jurnal memorial. Namun, pengungkapan belum optimal karena belum terdapat Catatan atas Laporan Keuangan (CALK), kebijakan akuntansi, dan rincian informasi pada beberapa akun, terutama yang berkaitan dengan piutang dan cadangan peng</w:t>
      </w:r>
      <w:r>
        <w:t>hapusan piutang.</w:t>
      </w:r>
    </w:p>
    <w:p w:rsidR="000E2538" w:rsidRDefault="000A31F8">
      <w:pPr>
        <w:spacing w:after="100"/>
        <w:ind w:firstLine="431"/>
        <w:jc w:val="both"/>
      </w:pPr>
      <w:r>
        <w:t>Dari sisi perspektif akuntansi syariah, kualitas pengungkapan tergolong cukup sesuai karena terdapat penyusunan laporan secara rutin dan penyampaian informasi kepada anggota sebagai bentuk transparansi dan amanah. Namun, belum diungkapkann</w:t>
      </w:r>
      <w:r>
        <w:t>ya kebijakan akuntansi, akad, mekanisme bagi hasil, dan informasi syariah lainnya menyebabkan penerapan prinsip transparansi, amanah, dan keadilan belum sepenuhnya optimal. Oleh karena itu, USP Desa Jangkang perlu meningkatkan kualitas pengungkapan laporan</w:t>
      </w:r>
      <w:r>
        <w:t xml:space="preserve"> keuangan serta memperkuat aspek kelembagaan, termasuk pertimbangan pembentukan fungsi pengawasan syariah, agar pengelolaan keuangan semakin sesuai dengan standar akuntansi syariah secara menyeluruh.</w:t>
      </w:r>
    </w:p>
    <w:p w:rsidR="000E2538" w:rsidRDefault="004F6312" w:rsidP="004F6312">
      <w:pPr>
        <w:spacing w:before="200" w:after="100"/>
      </w:pPr>
      <w:r>
        <w:rPr>
          <w:b/>
          <w:bCs/>
          <w:color w:val="000000"/>
        </w:rPr>
        <w:t xml:space="preserve">DAFTAR PUSTAKA </w:t>
      </w:r>
    </w:p>
    <w:p w:rsidR="000E2538" w:rsidRDefault="000A31F8">
      <w:pPr>
        <w:spacing w:after="60"/>
        <w:ind w:left="431" w:hanging="431"/>
      </w:pPr>
      <w:r>
        <w:rPr>
          <w:sz w:val="16"/>
          <w:szCs w:val="16"/>
        </w:rPr>
        <w:t>[1] A. H. Iskandar, SDGs Desa: Pe</w:t>
      </w:r>
      <w:r>
        <w:rPr>
          <w:sz w:val="16"/>
          <w:szCs w:val="16"/>
        </w:rPr>
        <w:t>rcepatan Pencapaian Tujuan Pembangunan Nasional Berkelanjutan. Jakarta, Indonesia: Yayasan Pustaka Obor Indonesia, 2020.</w:t>
      </w:r>
    </w:p>
    <w:p w:rsidR="000E2538" w:rsidRDefault="000A31F8">
      <w:pPr>
        <w:spacing w:after="60"/>
        <w:ind w:left="431" w:hanging="431"/>
      </w:pPr>
      <w:r>
        <w:rPr>
          <w:sz w:val="16"/>
          <w:szCs w:val="16"/>
        </w:rPr>
        <w:t>[2] H. Ritonga, “Peranan Baitul Maal Wat Tamwil dalam pemberdayaan usaha mikro dan kecil menengah Amanah Ummah Surabaya,” Yurisprudenti</w:t>
      </w:r>
      <w:r>
        <w:rPr>
          <w:sz w:val="16"/>
          <w:szCs w:val="16"/>
        </w:rPr>
        <w:t>a: J. Hukum Ekon., vol. 5, no. 1, pp. 72–94, 2019.</w:t>
      </w:r>
    </w:p>
    <w:p w:rsidR="000E2538" w:rsidRDefault="000A31F8">
      <w:pPr>
        <w:spacing w:after="60"/>
        <w:ind w:left="431" w:hanging="431"/>
      </w:pPr>
      <w:r>
        <w:rPr>
          <w:sz w:val="16"/>
          <w:szCs w:val="16"/>
        </w:rPr>
        <w:t>[3] M. Wibowo and A. Subagyo, Seri Manajemen Koperasi dan UKM: Tata Kelola Koperasi yang Baik (Good Cooperative Governance). Yogyakarta, Indonesia: Deepublish, 2017.</w:t>
      </w:r>
    </w:p>
    <w:p w:rsidR="000E2538" w:rsidRDefault="000A31F8">
      <w:pPr>
        <w:spacing w:after="60"/>
        <w:ind w:left="431" w:hanging="431"/>
      </w:pPr>
      <w:r>
        <w:rPr>
          <w:sz w:val="16"/>
          <w:szCs w:val="16"/>
        </w:rPr>
        <w:t>[4] A. Nurrochmah, A. W. Tan, and S. Ra</w:t>
      </w:r>
      <w:r>
        <w:rPr>
          <w:sz w:val="16"/>
          <w:szCs w:val="16"/>
        </w:rPr>
        <w:t xml:space="preserve">hayuningsih, “Peran transparansi keuangan dalam memediasi pengaruh penyajian kas terhadap kualitas laporan keuangan pada usaha mikro di Kalianak Morokrembangan,” J. Econ. Manag. </w:t>
      </w:r>
      <w:proofErr w:type="gramStart"/>
      <w:r>
        <w:rPr>
          <w:sz w:val="16"/>
          <w:szCs w:val="16"/>
        </w:rPr>
        <w:t>Account.,</w:t>
      </w:r>
      <w:proofErr w:type="gramEnd"/>
      <w:r>
        <w:rPr>
          <w:sz w:val="16"/>
          <w:szCs w:val="16"/>
        </w:rPr>
        <w:t xml:space="preserve"> vol. 1, no. 2, pp. 102–112, 2025.</w:t>
      </w:r>
    </w:p>
    <w:p w:rsidR="000E2538" w:rsidRDefault="000A31F8">
      <w:pPr>
        <w:spacing w:after="60"/>
        <w:ind w:left="431" w:hanging="431"/>
      </w:pPr>
      <w:r>
        <w:rPr>
          <w:sz w:val="16"/>
          <w:szCs w:val="16"/>
        </w:rPr>
        <w:t>[5] M. Ramdhan, Metode Penelitian.</w:t>
      </w:r>
      <w:r>
        <w:rPr>
          <w:sz w:val="16"/>
          <w:szCs w:val="16"/>
        </w:rPr>
        <w:t xml:space="preserve"> Bandung, Indonesia: Cipta Media Nusantara, 2021.</w:t>
      </w:r>
    </w:p>
    <w:p w:rsidR="000E2538" w:rsidRDefault="000A31F8">
      <w:pPr>
        <w:spacing w:after="60"/>
        <w:ind w:left="431" w:hanging="431"/>
      </w:pPr>
      <w:r>
        <w:rPr>
          <w:sz w:val="16"/>
          <w:szCs w:val="16"/>
        </w:rPr>
        <w:t>[6] Wawancara dengan Irzan, S.E.Sy., Direktur Unit Usaha Simpan Pinjam (USP) Desa Jangkang, dilakukan pada 24 Maret 2026 di Kantor USP Desa Jangkang.</w:t>
      </w:r>
    </w:p>
    <w:p w:rsidR="000E2538" w:rsidRDefault="000A31F8">
      <w:pPr>
        <w:spacing w:after="60"/>
        <w:ind w:left="431" w:hanging="431"/>
      </w:pPr>
      <w:r>
        <w:rPr>
          <w:sz w:val="16"/>
          <w:szCs w:val="16"/>
        </w:rPr>
        <w:t>[7] Wawancara dengan Rovita, A.Md., Sekretaris Unit Usah</w:t>
      </w:r>
      <w:r>
        <w:rPr>
          <w:sz w:val="16"/>
          <w:szCs w:val="16"/>
        </w:rPr>
        <w:t>a Simpan Pinjam (USP) Desa Jangkang, dilakukan pada 24 Maret 2026 di Kantor USP Desa Jangkang.</w:t>
      </w:r>
    </w:p>
    <w:p w:rsidR="000E2538" w:rsidRDefault="000A31F8">
      <w:pPr>
        <w:spacing w:after="60"/>
        <w:ind w:left="431" w:hanging="431"/>
      </w:pPr>
      <w:r>
        <w:rPr>
          <w:sz w:val="16"/>
          <w:szCs w:val="16"/>
        </w:rPr>
        <w:t>[8] Mahanum, “Tinjauan kepustakaan,” ALACRITY: J. Educ., pp. 1–12, 2021.</w:t>
      </w:r>
    </w:p>
    <w:p w:rsidR="000E2538" w:rsidRDefault="000E2538">
      <w:pPr>
        <w:spacing w:after="100"/>
        <w:ind w:firstLine="431"/>
        <w:jc w:val="both"/>
      </w:pPr>
      <w:bookmarkStart w:id="0" w:name="_GoBack"/>
      <w:bookmarkEnd w:id="0"/>
    </w:p>
    <w:sectPr w:rsidR="000E2538">
      <w:headerReference w:type="default" r:id="rId9"/>
      <w:footerReference w:type="default" r:id="rId10"/>
      <w:pgSz w:w="11906" w:h="16838"/>
      <w:pgMar w:top="1411" w:right="1137" w:bottom="1137" w:left="141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1F8" w:rsidRDefault="000A31F8">
      <w:r>
        <w:separator/>
      </w:r>
    </w:p>
  </w:endnote>
  <w:endnote w:type="continuationSeparator" w:id="0">
    <w:p w:rsidR="000A31F8" w:rsidRDefault="000A3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2538" w:rsidRDefault="000E2538">
    <w:pPr>
      <w:pBdr>
        <w:top w:val="single" w:sz="6" w:space="4" w:color="000000"/>
      </w:pBdr>
    </w:pPr>
  </w:p>
  <w:p w:rsidR="000E2538" w:rsidRDefault="000E253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1F8" w:rsidRDefault="000A31F8">
      <w:r>
        <w:separator/>
      </w:r>
    </w:p>
  </w:footnote>
  <w:footnote w:type="continuationSeparator" w:id="0">
    <w:p w:rsidR="000A31F8" w:rsidRDefault="000A31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60"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000"/>
      <w:gridCol w:w="2360"/>
    </w:tblGrid>
    <w:tr w:rsidR="000E2538">
      <w:tblPrEx>
        <w:tblCellMar>
          <w:top w:w="0" w:type="dxa"/>
          <w:bottom w:w="0" w:type="dxa"/>
        </w:tblCellMar>
      </w:tblPrEx>
      <w:tc>
        <w:tcPr>
          <w:tcW w:w="7000" w:type="dxa"/>
          <w:tcBorders>
            <w:top w:val="none" w:sz="0" w:space="0" w:color="FFFFFF"/>
            <w:left w:val="none" w:sz="0" w:space="0" w:color="FFFFFF"/>
            <w:bottom w:val="none" w:sz="0" w:space="0" w:color="FFFFFF"/>
            <w:right w:val="none" w:sz="0" w:space="0" w:color="FFFFFF"/>
          </w:tcBorders>
        </w:tcPr>
        <w:p w:rsidR="000E2538" w:rsidRDefault="000A31F8">
          <w:r>
            <w:rPr>
              <w:b/>
              <w:bCs/>
            </w:rPr>
            <w:t>TANJAK; Jurnal Tinjauan Syariah</w:t>
          </w:r>
        </w:p>
        <w:p w:rsidR="000E2538" w:rsidRDefault="000A31F8">
          <w:r>
            <w:t>Vol. xx, No. x, Bulan 20xx, pp. xx~xx</w:t>
          </w:r>
        </w:p>
        <w:p w:rsidR="000E2538" w:rsidRDefault="000A31F8">
          <w:r>
            <w:t>ISSN: xxxx-xxxx, DOI: 10.xxxxx/tanjak.vxxixx.paperID</w:t>
          </w:r>
        </w:p>
      </w:tc>
      <w:tc>
        <w:tcPr>
          <w:tcW w:w="2360" w:type="dxa"/>
          <w:tcBorders>
            <w:top w:val="none" w:sz="0" w:space="0" w:color="FFFFFF"/>
            <w:left w:val="none" w:sz="0" w:space="0" w:color="FFFFFF"/>
            <w:bottom w:val="none" w:sz="0" w:space="0" w:color="FFFFFF"/>
            <w:right w:val="none" w:sz="0" w:space="0" w:color="FFFFFF"/>
          </w:tcBorders>
          <w:vAlign w:val="bottom"/>
        </w:tcPr>
        <w:p w:rsidR="000E2538" w:rsidRDefault="000A31F8">
          <w:pPr>
            <w:jc w:val="right"/>
          </w:pPr>
          <w:r>
            <w:fldChar w:fldCharType="begin"/>
          </w:r>
          <w:r>
            <w:instrText>PAGE</w:instrText>
          </w:r>
          <w:r w:rsidR="00BC05CC">
            <w:fldChar w:fldCharType="separate"/>
          </w:r>
          <w:r w:rsidR="00D71BA3">
            <w:rPr>
              <w:noProof/>
            </w:rPr>
            <w:t>4</w:t>
          </w:r>
          <w:r>
            <w:fldChar w:fldCharType="end"/>
          </w:r>
        </w:p>
      </w:tc>
    </w:tr>
  </w:tbl>
  <w:p w:rsidR="000E2538" w:rsidRDefault="000E2538">
    <w:pPr>
      <w:pBdr>
        <w:bottom w:val="single" w:sz="6" w:space="4" w:color="00000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FB057A"/>
    <w:multiLevelType w:val="hybridMultilevel"/>
    <w:tmpl w:val="9356B714"/>
    <w:lvl w:ilvl="0" w:tplc="EA4AA442">
      <w:start w:val="1"/>
      <w:numFmt w:val="bullet"/>
      <w:lvlText w:val="●"/>
      <w:lvlJc w:val="left"/>
      <w:pPr>
        <w:ind w:left="720" w:hanging="360"/>
      </w:pPr>
    </w:lvl>
    <w:lvl w:ilvl="1" w:tplc="1AA6C648">
      <w:start w:val="1"/>
      <w:numFmt w:val="bullet"/>
      <w:lvlText w:val="○"/>
      <w:lvlJc w:val="left"/>
      <w:pPr>
        <w:ind w:left="1440" w:hanging="360"/>
      </w:pPr>
    </w:lvl>
    <w:lvl w:ilvl="2" w:tplc="3FE21F00">
      <w:start w:val="1"/>
      <w:numFmt w:val="bullet"/>
      <w:lvlText w:val="■"/>
      <w:lvlJc w:val="left"/>
      <w:pPr>
        <w:ind w:left="2160" w:hanging="360"/>
      </w:pPr>
    </w:lvl>
    <w:lvl w:ilvl="3" w:tplc="8DB27FD4">
      <w:start w:val="1"/>
      <w:numFmt w:val="bullet"/>
      <w:lvlText w:val="●"/>
      <w:lvlJc w:val="left"/>
      <w:pPr>
        <w:ind w:left="2880" w:hanging="360"/>
      </w:pPr>
    </w:lvl>
    <w:lvl w:ilvl="4" w:tplc="756E9116">
      <w:start w:val="1"/>
      <w:numFmt w:val="bullet"/>
      <w:lvlText w:val="○"/>
      <w:lvlJc w:val="left"/>
      <w:pPr>
        <w:ind w:left="3600" w:hanging="360"/>
      </w:pPr>
    </w:lvl>
    <w:lvl w:ilvl="5" w:tplc="7DA6E846">
      <w:start w:val="1"/>
      <w:numFmt w:val="bullet"/>
      <w:lvlText w:val="■"/>
      <w:lvlJc w:val="left"/>
      <w:pPr>
        <w:ind w:left="4320" w:hanging="360"/>
      </w:pPr>
    </w:lvl>
    <w:lvl w:ilvl="6" w:tplc="64B276F8">
      <w:start w:val="1"/>
      <w:numFmt w:val="bullet"/>
      <w:lvlText w:val="●"/>
      <w:lvlJc w:val="left"/>
      <w:pPr>
        <w:ind w:left="5040" w:hanging="360"/>
      </w:pPr>
    </w:lvl>
    <w:lvl w:ilvl="7" w:tplc="A19A323A">
      <w:start w:val="1"/>
      <w:numFmt w:val="bullet"/>
      <w:lvlText w:val="●"/>
      <w:lvlJc w:val="left"/>
      <w:pPr>
        <w:ind w:left="5760" w:hanging="360"/>
      </w:pPr>
    </w:lvl>
    <w:lvl w:ilvl="8" w:tplc="387A13B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538"/>
    <w:rsid w:val="000A31F8"/>
    <w:rsid w:val="000E2538"/>
    <w:rsid w:val="001E4013"/>
    <w:rsid w:val="002F49BB"/>
    <w:rsid w:val="00364A14"/>
    <w:rsid w:val="00432CDD"/>
    <w:rsid w:val="004F6312"/>
    <w:rsid w:val="008943F7"/>
    <w:rsid w:val="00BC05CC"/>
    <w:rsid w:val="00CB0C3A"/>
    <w:rsid w:val="00D71B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A93373-EF8E-4A27-B05E-9AC833D8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943F7"/>
    <w:pPr>
      <w:tabs>
        <w:tab w:val="center" w:pos="4680"/>
        <w:tab w:val="right" w:pos="9360"/>
      </w:tabs>
    </w:pPr>
  </w:style>
  <w:style w:type="character" w:customStyle="1" w:styleId="HeaderChar">
    <w:name w:val="Header Char"/>
    <w:basedOn w:val="DefaultParagraphFont"/>
    <w:link w:val="Header"/>
    <w:uiPriority w:val="99"/>
    <w:rsid w:val="008943F7"/>
  </w:style>
  <w:style w:type="paragraph" w:styleId="Footer">
    <w:name w:val="footer"/>
    <w:basedOn w:val="Normal"/>
    <w:link w:val="FooterChar"/>
    <w:uiPriority w:val="99"/>
    <w:unhideWhenUsed/>
    <w:rsid w:val="008943F7"/>
    <w:pPr>
      <w:tabs>
        <w:tab w:val="center" w:pos="4680"/>
        <w:tab w:val="right" w:pos="9360"/>
      </w:tabs>
    </w:pPr>
  </w:style>
  <w:style w:type="character" w:customStyle="1" w:styleId="FooterChar">
    <w:name w:val="Footer Char"/>
    <w:basedOn w:val="DefaultParagraphFont"/>
    <w:link w:val="Footer"/>
    <w:uiPriority w:val="99"/>
    <w:rsid w:val="00894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creativecommons.org/licenses/by-sa/4.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2462</Words>
  <Characters>14036</Characters>
  <Application>Microsoft Office Word</Application>
  <DocSecurity>0</DocSecurity>
  <Lines>116</Lines>
  <Paragraphs>32</Paragraphs>
  <ScaleCrop>false</ScaleCrop>
  <Company/>
  <LinksUpToDate>false</LinksUpToDate>
  <CharactersWithSpaces>16466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10</cp:revision>
  <dcterms:created xsi:type="dcterms:W3CDTF">2026-09-18T06:28:00Z</dcterms:created>
  <dcterms:modified xsi:type="dcterms:W3CDTF">2026-09-18T13:23:00Z</dcterms:modified>
</cp:coreProperties>
</file>